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C6BD1" w14:textId="71B624B8" w:rsidR="00240ECA" w:rsidRPr="00EE1486" w:rsidRDefault="00B53253" w:rsidP="00C57CA8">
      <w:pPr>
        <w:tabs>
          <w:tab w:val="left" w:pos="3668"/>
        </w:tabs>
        <w:spacing w:after="0" w:line="240" w:lineRule="auto"/>
        <w:jc w:val="center"/>
        <w:rPr>
          <w:rFonts w:cs="Times New Roman"/>
          <w:b/>
          <w:szCs w:val="24"/>
        </w:rPr>
      </w:pPr>
      <w:r w:rsidRPr="00EE1486">
        <w:rPr>
          <w:rFonts w:cs="Times New Roman"/>
          <w:szCs w:val="24"/>
        </w:rPr>
        <w:t>Uso Indebido del IVA Descontable en el AIU por Contribuyentes del Sector de la Construcción en Colombia</w:t>
      </w:r>
      <w:r w:rsidR="0014544E" w:rsidRPr="00EE1486">
        <w:rPr>
          <w:rStyle w:val="Refdenotaalpie"/>
          <w:rFonts w:cs="Times New Roman"/>
          <w:b/>
          <w:szCs w:val="24"/>
        </w:rPr>
        <w:footnoteReference w:id="2"/>
      </w:r>
    </w:p>
    <w:p w14:paraId="09D0FD6E" w14:textId="27AB3346" w:rsidR="00240ECA" w:rsidRPr="00EE1486" w:rsidRDefault="00240ECA" w:rsidP="00C57CA8">
      <w:pPr>
        <w:spacing w:after="0" w:line="240" w:lineRule="auto"/>
        <w:jc w:val="left"/>
        <w:rPr>
          <w:rFonts w:cs="Times New Roman"/>
          <w:b/>
          <w:szCs w:val="24"/>
        </w:rPr>
      </w:pPr>
    </w:p>
    <w:p w14:paraId="6DDAD1C1" w14:textId="7EADC455" w:rsidR="0014544E" w:rsidRPr="00EE1486" w:rsidRDefault="0014544E" w:rsidP="00C57CA8">
      <w:pPr>
        <w:spacing w:after="0" w:line="240" w:lineRule="auto"/>
        <w:jc w:val="left"/>
        <w:rPr>
          <w:rFonts w:cs="Times New Roman"/>
          <w:b/>
          <w:szCs w:val="24"/>
        </w:rPr>
      </w:pPr>
    </w:p>
    <w:p w14:paraId="6B51EE62" w14:textId="77777777" w:rsidR="0014544E" w:rsidRPr="00EE1486" w:rsidRDefault="0014544E" w:rsidP="00C57CA8">
      <w:pPr>
        <w:spacing w:after="0" w:line="240" w:lineRule="auto"/>
        <w:jc w:val="left"/>
        <w:rPr>
          <w:rFonts w:cs="Times New Roman"/>
          <w:b/>
          <w:szCs w:val="24"/>
        </w:rPr>
      </w:pPr>
    </w:p>
    <w:p w14:paraId="0B33BC44" w14:textId="77777777" w:rsidR="00807513" w:rsidRDefault="00807513" w:rsidP="00C57CA8">
      <w:pPr>
        <w:spacing w:after="0" w:line="240" w:lineRule="auto"/>
        <w:ind w:left="709"/>
        <w:jc w:val="right"/>
        <w:rPr>
          <w:rFonts w:cs="Times New Roman"/>
          <w:b/>
          <w:szCs w:val="24"/>
        </w:rPr>
      </w:pPr>
    </w:p>
    <w:p w14:paraId="183CF6AE" w14:textId="77777777" w:rsidR="00807513" w:rsidRDefault="00807513" w:rsidP="00C57CA8">
      <w:pPr>
        <w:spacing w:after="0" w:line="240" w:lineRule="auto"/>
        <w:ind w:left="709"/>
        <w:jc w:val="right"/>
        <w:rPr>
          <w:rFonts w:cs="Times New Roman"/>
          <w:b/>
          <w:szCs w:val="24"/>
        </w:rPr>
      </w:pPr>
    </w:p>
    <w:p w14:paraId="501EA2F3" w14:textId="4CC854B3" w:rsidR="00807513" w:rsidRDefault="00807513" w:rsidP="00C57CA8">
      <w:pPr>
        <w:spacing w:after="0" w:line="240" w:lineRule="auto"/>
        <w:ind w:left="709"/>
        <w:jc w:val="right"/>
        <w:rPr>
          <w:rFonts w:cs="Times New Roman"/>
          <w:b/>
          <w:szCs w:val="24"/>
        </w:rPr>
      </w:pPr>
    </w:p>
    <w:p w14:paraId="3C663536" w14:textId="77777777" w:rsidR="00807513" w:rsidRDefault="00807513" w:rsidP="00C57CA8">
      <w:pPr>
        <w:spacing w:after="0" w:line="240" w:lineRule="auto"/>
        <w:ind w:left="709"/>
        <w:jc w:val="right"/>
        <w:rPr>
          <w:rFonts w:cs="Times New Roman"/>
          <w:b/>
          <w:szCs w:val="24"/>
        </w:rPr>
      </w:pPr>
    </w:p>
    <w:p w14:paraId="30E1291F" w14:textId="77777777" w:rsidR="00807513" w:rsidRDefault="00807513" w:rsidP="00C57CA8">
      <w:pPr>
        <w:spacing w:after="0" w:line="240" w:lineRule="auto"/>
        <w:ind w:left="709"/>
        <w:jc w:val="right"/>
        <w:rPr>
          <w:rFonts w:cs="Times New Roman"/>
          <w:b/>
          <w:szCs w:val="24"/>
        </w:rPr>
      </w:pPr>
    </w:p>
    <w:p w14:paraId="0F2F143B" w14:textId="425E25E9" w:rsidR="00240ECA" w:rsidRPr="00EE1486" w:rsidRDefault="0014544E" w:rsidP="00807513">
      <w:pPr>
        <w:spacing w:after="0" w:line="240" w:lineRule="auto"/>
        <w:ind w:left="709"/>
        <w:jc w:val="center"/>
        <w:rPr>
          <w:rFonts w:cs="Times New Roman"/>
          <w:b/>
          <w:szCs w:val="24"/>
        </w:rPr>
      </w:pPr>
      <w:r w:rsidRPr="00EE1486">
        <w:rPr>
          <w:rFonts w:cs="Times New Roman"/>
          <w:b/>
          <w:szCs w:val="24"/>
        </w:rPr>
        <w:t xml:space="preserve">Paula </w:t>
      </w:r>
      <w:r w:rsidR="0089497B" w:rsidRPr="00EE1486">
        <w:rPr>
          <w:rFonts w:cs="Times New Roman"/>
          <w:b/>
          <w:szCs w:val="24"/>
        </w:rPr>
        <w:t>A</w:t>
      </w:r>
      <w:r w:rsidRPr="00EE1486">
        <w:rPr>
          <w:rFonts w:cs="Times New Roman"/>
          <w:b/>
          <w:szCs w:val="24"/>
        </w:rPr>
        <w:t xml:space="preserve">ndrea </w:t>
      </w:r>
      <w:r w:rsidR="0089497B" w:rsidRPr="00EE1486">
        <w:rPr>
          <w:rFonts w:cs="Times New Roman"/>
          <w:b/>
          <w:szCs w:val="24"/>
        </w:rPr>
        <w:t>A</w:t>
      </w:r>
      <w:r w:rsidRPr="00EE1486">
        <w:rPr>
          <w:rFonts w:cs="Times New Roman"/>
          <w:b/>
          <w:szCs w:val="24"/>
        </w:rPr>
        <w:t>rango</w:t>
      </w:r>
      <w:r w:rsidRPr="00EE1486">
        <w:rPr>
          <w:rStyle w:val="Refdenotaalpie"/>
          <w:rFonts w:cs="Times New Roman"/>
          <w:b/>
          <w:szCs w:val="24"/>
        </w:rPr>
        <w:footnoteReference w:id="3"/>
      </w:r>
    </w:p>
    <w:p w14:paraId="1C27CD57" w14:textId="1B39C95D" w:rsidR="00240ECA" w:rsidRPr="00EE1486" w:rsidRDefault="0014544E" w:rsidP="00807513">
      <w:pPr>
        <w:spacing w:after="0" w:line="240" w:lineRule="auto"/>
        <w:ind w:left="709"/>
        <w:jc w:val="center"/>
        <w:rPr>
          <w:rFonts w:cs="Times New Roman"/>
          <w:b/>
          <w:szCs w:val="24"/>
        </w:rPr>
      </w:pPr>
      <w:r w:rsidRPr="00EE1486">
        <w:rPr>
          <w:rFonts w:cs="Times New Roman"/>
          <w:b/>
          <w:szCs w:val="24"/>
        </w:rPr>
        <w:t xml:space="preserve">Yurany </w:t>
      </w:r>
      <w:r w:rsidR="0089497B" w:rsidRPr="00EE1486">
        <w:rPr>
          <w:rFonts w:cs="Times New Roman"/>
          <w:b/>
          <w:szCs w:val="24"/>
        </w:rPr>
        <w:t>Álvarez</w:t>
      </w:r>
      <w:r w:rsidRPr="00EE1486">
        <w:rPr>
          <w:rFonts w:cs="Times New Roman"/>
          <w:b/>
          <w:szCs w:val="24"/>
        </w:rPr>
        <w:t xml:space="preserve"> </w:t>
      </w:r>
      <w:r w:rsidR="0089497B" w:rsidRPr="00EE1486">
        <w:rPr>
          <w:rFonts w:cs="Times New Roman"/>
          <w:b/>
          <w:szCs w:val="24"/>
        </w:rPr>
        <w:t>C</w:t>
      </w:r>
      <w:r w:rsidRPr="00EE1486">
        <w:rPr>
          <w:rFonts w:cs="Times New Roman"/>
          <w:b/>
          <w:szCs w:val="24"/>
        </w:rPr>
        <w:t>ano</w:t>
      </w:r>
      <w:r w:rsidRPr="00EE1486">
        <w:rPr>
          <w:rStyle w:val="Refdenotaalpie"/>
          <w:rFonts w:cs="Times New Roman"/>
          <w:b/>
          <w:szCs w:val="24"/>
        </w:rPr>
        <w:footnoteReference w:id="4"/>
      </w:r>
    </w:p>
    <w:p w14:paraId="5EEFEBCE" w14:textId="10B2AA1C" w:rsidR="00240ECA" w:rsidRDefault="00240ECA" w:rsidP="00C57CA8">
      <w:pPr>
        <w:spacing w:after="0" w:line="240" w:lineRule="auto"/>
        <w:jc w:val="left"/>
        <w:rPr>
          <w:rFonts w:cs="Times New Roman"/>
          <w:b/>
          <w:szCs w:val="24"/>
        </w:rPr>
      </w:pPr>
    </w:p>
    <w:p w14:paraId="3134AC72" w14:textId="77777777" w:rsidR="00807513" w:rsidRPr="00EE1486" w:rsidRDefault="00807513" w:rsidP="00C57CA8">
      <w:pPr>
        <w:spacing w:after="0" w:line="240" w:lineRule="auto"/>
        <w:jc w:val="left"/>
        <w:rPr>
          <w:rFonts w:cs="Times New Roman"/>
          <w:b/>
          <w:szCs w:val="24"/>
        </w:rPr>
      </w:pPr>
    </w:p>
    <w:p w14:paraId="0E785039" w14:textId="77777777" w:rsidR="001606C5" w:rsidRPr="00807513" w:rsidRDefault="001606C5" w:rsidP="00807513">
      <w:pPr>
        <w:spacing w:before="240" w:line="240" w:lineRule="auto"/>
        <w:ind w:left="142" w:firstLine="0"/>
        <w:jc w:val="left"/>
        <w:rPr>
          <w:rFonts w:cs="Times New Roman"/>
          <w:b/>
          <w:bCs/>
          <w:szCs w:val="24"/>
        </w:rPr>
      </w:pPr>
    </w:p>
    <w:p w14:paraId="7B7470FD" w14:textId="77777777" w:rsidR="001606C5" w:rsidRPr="00807513" w:rsidRDefault="001606C5" w:rsidP="00807513">
      <w:pPr>
        <w:spacing w:before="240" w:line="240" w:lineRule="auto"/>
        <w:ind w:left="142" w:firstLine="0"/>
        <w:jc w:val="left"/>
        <w:rPr>
          <w:rFonts w:cs="Times New Roman"/>
          <w:b/>
          <w:bCs/>
          <w:szCs w:val="24"/>
        </w:rPr>
      </w:pPr>
    </w:p>
    <w:p w14:paraId="00203F98" w14:textId="77777777" w:rsidR="001606C5" w:rsidRPr="00807513" w:rsidRDefault="001606C5" w:rsidP="00807513">
      <w:pPr>
        <w:spacing w:before="240" w:line="240" w:lineRule="auto"/>
        <w:ind w:left="142" w:firstLine="0"/>
        <w:jc w:val="left"/>
        <w:rPr>
          <w:rFonts w:cs="Times New Roman"/>
          <w:b/>
          <w:bCs/>
          <w:szCs w:val="24"/>
        </w:rPr>
      </w:pPr>
    </w:p>
    <w:p w14:paraId="39681191" w14:textId="77777777" w:rsidR="001606C5" w:rsidRPr="00807513" w:rsidRDefault="001606C5" w:rsidP="00807513">
      <w:pPr>
        <w:spacing w:before="240" w:line="240" w:lineRule="auto"/>
        <w:ind w:left="142" w:firstLine="0"/>
        <w:jc w:val="left"/>
        <w:rPr>
          <w:rFonts w:cs="Times New Roman"/>
          <w:b/>
          <w:bCs/>
          <w:szCs w:val="24"/>
        </w:rPr>
      </w:pPr>
    </w:p>
    <w:p w14:paraId="2BDFB9AD" w14:textId="77777777" w:rsidR="001606C5" w:rsidRPr="00807513" w:rsidRDefault="001606C5" w:rsidP="00807513">
      <w:pPr>
        <w:spacing w:before="240" w:line="240" w:lineRule="auto"/>
        <w:ind w:left="142" w:firstLine="0"/>
        <w:jc w:val="left"/>
        <w:rPr>
          <w:rFonts w:cs="Times New Roman"/>
          <w:b/>
          <w:bCs/>
          <w:szCs w:val="24"/>
        </w:rPr>
      </w:pPr>
    </w:p>
    <w:p w14:paraId="59B13C3A" w14:textId="77777777" w:rsidR="001606C5" w:rsidRPr="00807513" w:rsidRDefault="001606C5" w:rsidP="00807513">
      <w:pPr>
        <w:spacing w:before="240" w:line="240" w:lineRule="auto"/>
        <w:ind w:left="142" w:firstLine="0"/>
        <w:jc w:val="left"/>
        <w:rPr>
          <w:rFonts w:cs="Times New Roman"/>
          <w:b/>
          <w:bCs/>
          <w:szCs w:val="24"/>
        </w:rPr>
      </w:pPr>
    </w:p>
    <w:p w14:paraId="30E13890" w14:textId="77777777" w:rsidR="001606C5" w:rsidRPr="00807513" w:rsidRDefault="001606C5" w:rsidP="00807513">
      <w:pPr>
        <w:spacing w:before="240" w:line="240" w:lineRule="auto"/>
        <w:ind w:left="142" w:firstLine="0"/>
        <w:jc w:val="left"/>
        <w:rPr>
          <w:rFonts w:cs="Times New Roman"/>
          <w:b/>
          <w:bCs/>
          <w:szCs w:val="24"/>
        </w:rPr>
      </w:pPr>
    </w:p>
    <w:p w14:paraId="01D09AF3" w14:textId="77777777" w:rsidR="001606C5" w:rsidRPr="00807513" w:rsidRDefault="001606C5" w:rsidP="00807513">
      <w:pPr>
        <w:spacing w:before="240" w:line="240" w:lineRule="auto"/>
        <w:ind w:left="142" w:firstLine="0"/>
        <w:jc w:val="left"/>
        <w:rPr>
          <w:rFonts w:cs="Times New Roman"/>
          <w:b/>
          <w:bCs/>
          <w:szCs w:val="24"/>
        </w:rPr>
      </w:pPr>
    </w:p>
    <w:p w14:paraId="184C0D80" w14:textId="77777777" w:rsidR="001606C5" w:rsidRPr="00807513" w:rsidRDefault="001606C5" w:rsidP="00807513">
      <w:pPr>
        <w:spacing w:before="240" w:line="240" w:lineRule="auto"/>
        <w:ind w:left="142" w:firstLine="0"/>
        <w:jc w:val="left"/>
        <w:rPr>
          <w:rFonts w:cs="Times New Roman"/>
          <w:b/>
          <w:bCs/>
          <w:szCs w:val="24"/>
        </w:rPr>
      </w:pPr>
    </w:p>
    <w:p w14:paraId="4BBDABC4" w14:textId="77777777" w:rsidR="001606C5" w:rsidRPr="00807513" w:rsidRDefault="001606C5" w:rsidP="00807513">
      <w:pPr>
        <w:spacing w:before="240" w:line="240" w:lineRule="auto"/>
        <w:ind w:left="142" w:firstLine="0"/>
        <w:jc w:val="left"/>
        <w:rPr>
          <w:rFonts w:cs="Times New Roman"/>
          <w:b/>
          <w:bCs/>
          <w:szCs w:val="24"/>
        </w:rPr>
      </w:pPr>
    </w:p>
    <w:p w14:paraId="52198EC3" w14:textId="77777777" w:rsidR="001606C5" w:rsidRPr="00807513" w:rsidRDefault="001606C5" w:rsidP="00807513">
      <w:pPr>
        <w:spacing w:before="240" w:line="240" w:lineRule="auto"/>
        <w:ind w:left="142" w:firstLine="0"/>
        <w:jc w:val="left"/>
        <w:rPr>
          <w:rFonts w:cs="Times New Roman"/>
          <w:b/>
          <w:bCs/>
          <w:szCs w:val="24"/>
        </w:rPr>
      </w:pPr>
    </w:p>
    <w:p w14:paraId="7F5DBD3B" w14:textId="77777777" w:rsidR="001606C5" w:rsidRPr="00807513" w:rsidRDefault="001606C5" w:rsidP="00807513">
      <w:pPr>
        <w:spacing w:before="240" w:line="240" w:lineRule="auto"/>
        <w:ind w:left="142" w:firstLine="0"/>
        <w:jc w:val="left"/>
        <w:rPr>
          <w:rFonts w:cs="Times New Roman"/>
          <w:b/>
          <w:bCs/>
          <w:szCs w:val="24"/>
        </w:rPr>
      </w:pPr>
    </w:p>
    <w:p w14:paraId="165AB97D" w14:textId="77777777" w:rsidR="001606C5" w:rsidRPr="00807513" w:rsidRDefault="001606C5" w:rsidP="00807513">
      <w:pPr>
        <w:spacing w:before="240" w:line="240" w:lineRule="auto"/>
        <w:ind w:left="142" w:firstLine="0"/>
        <w:jc w:val="left"/>
        <w:rPr>
          <w:rFonts w:cs="Times New Roman"/>
          <w:b/>
          <w:bCs/>
          <w:szCs w:val="24"/>
        </w:rPr>
      </w:pPr>
    </w:p>
    <w:p w14:paraId="213FC3CB" w14:textId="77777777" w:rsidR="001606C5" w:rsidRPr="00807513" w:rsidRDefault="001606C5" w:rsidP="00807513">
      <w:pPr>
        <w:spacing w:before="240" w:line="240" w:lineRule="auto"/>
        <w:ind w:left="142" w:firstLine="0"/>
        <w:jc w:val="left"/>
        <w:rPr>
          <w:rFonts w:cs="Times New Roman"/>
          <w:b/>
          <w:bCs/>
          <w:szCs w:val="24"/>
        </w:rPr>
      </w:pPr>
    </w:p>
    <w:sdt>
      <w:sdtPr>
        <w:rPr>
          <w:rFonts w:ascii="Times New Roman" w:eastAsiaTheme="minorHAnsi" w:hAnsi="Times New Roman" w:cs="Times New Roman"/>
          <w:color w:val="auto"/>
          <w:sz w:val="24"/>
          <w:szCs w:val="24"/>
          <w:lang w:val="es-ES" w:eastAsia="en-US"/>
        </w:rPr>
        <w:id w:val="1242373206"/>
        <w:docPartObj>
          <w:docPartGallery w:val="Table of Contents"/>
          <w:docPartUnique/>
        </w:docPartObj>
      </w:sdtPr>
      <w:sdtEndPr>
        <w:rPr>
          <w:b/>
          <w:bCs/>
        </w:rPr>
      </w:sdtEndPr>
      <w:sdtContent>
        <w:p w14:paraId="517E6875" w14:textId="300B188F" w:rsidR="00807513" w:rsidRPr="00976C23" w:rsidRDefault="00807513" w:rsidP="00976C23">
          <w:pPr>
            <w:pStyle w:val="TtuloTDC"/>
            <w:spacing w:line="480" w:lineRule="auto"/>
            <w:jc w:val="center"/>
            <w:rPr>
              <w:rStyle w:val="Ttulo1Car"/>
              <w:color w:val="000000" w:themeColor="text1"/>
            </w:rPr>
          </w:pPr>
          <w:r w:rsidRPr="00976C23">
            <w:rPr>
              <w:rStyle w:val="Ttulo1Car"/>
              <w:color w:val="000000" w:themeColor="text1"/>
            </w:rPr>
            <w:t>Tabla de contenido</w:t>
          </w:r>
        </w:p>
        <w:p w14:paraId="34BA002A" w14:textId="77777777" w:rsidR="00D01BEA" w:rsidRPr="00D01BEA" w:rsidRDefault="00D01BEA" w:rsidP="003A095E">
          <w:pPr>
            <w:spacing w:line="480" w:lineRule="auto"/>
            <w:rPr>
              <w:lang w:eastAsia="es-CO"/>
            </w:rPr>
          </w:pPr>
        </w:p>
        <w:p w14:paraId="7E97913A" w14:textId="5A87C94B" w:rsidR="00572DBF" w:rsidRDefault="00807513">
          <w:pPr>
            <w:pStyle w:val="TDC1"/>
            <w:tabs>
              <w:tab w:val="right" w:leader="dot" w:pos="9350"/>
            </w:tabs>
            <w:rPr>
              <w:rFonts w:asciiTheme="minorHAnsi" w:eastAsiaTheme="minorEastAsia" w:hAnsiTheme="minorHAnsi"/>
              <w:noProof/>
              <w:sz w:val="22"/>
              <w:lang w:eastAsia="es-CO"/>
            </w:rPr>
          </w:pPr>
          <w:r w:rsidRPr="00807513">
            <w:rPr>
              <w:rFonts w:cs="Times New Roman"/>
              <w:szCs w:val="24"/>
            </w:rPr>
            <w:fldChar w:fldCharType="begin"/>
          </w:r>
          <w:r w:rsidRPr="00807513">
            <w:rPr>
              <w:rFonts w:cs="Times New Roman"/>
              <w:szCs w:val="24"/>
            </w:rPr>
            <w:instrText xml:space="preserve"> TOC \o "1-3" \h \z \u </w:instrText>
          </w:r>
          <w:r w:rsidRPr="00807513">
            <w:rPr>
              <w:rFonts w:cs="Times New Roman"/>
              <w:szCs w:val="24"/>
            </w:rPr>
            <w:fldChar w:fldCharType="separate"/>
          </w:r>
          <w:hyperlink w:anchor="_Toc172121805" w:history="1">
            <w:r w:rsidR="00572DBF" w:rsidRPr="00144E06">
              <w:rPr>
                <w:rStyle w:val="Hipervnculo"/>
                <w:noProof/>
              </w:rPr>
              <w:t>Descripción del problema</w:t>
            </w:r>
            <w:r w:rsidR="00572DBF">
              <w:rPr>
                <w:noProof/>
                <w:webHidden/>
              </w:rPr>
              <w:tab/>
            </w:r>
            <w:r w:rsidR="00572DBF">
              <w:rPr>
                <w:noProof/>
                <w:webHidden/>
              </w:rPr>
              <w:fldChar w:fldCharType="begin"/>
            </w:r>
            <w:r w:rsidR="00572DBF">
              <w:rPr>
                <w:noProof/>
                <w:webHidden/>
              </w:rPr>
              <w:instrText xml:space="preserve"> PAGEREF _Toc172121805 \h </w:instrText>
            </w:r>
            <w:r w:rsidR="00572DBF">
              <w:rPr>
                <w:noProof/>
                <w:webHidden/>
              </w:rPr>
            </w:r>
            <w:r w:rsidR="00572DBF">
              <w:rPr>
                <w:noProof/>
                <w:webHidden/>
              </w:rPr>
              <w:fldChar w:fldCharType="separate"/>
            </w:r>
            <w:r w:rsidR="00572DBF">
              <w:rPr>
                <w:noProof/>
                <w:webHidden/>
              </w:rPr>
              <w:t>3</w:t>
            </w:r>
            <w:r w:rsidR="00572DBF">
              <w:rPr>
                <w:noProof/>
                <w:webHidden/>
              </w:rPr>
              <w:fldChar w:fldCharType="end"/>
            </w:r>
          </w:hyperlink>
        </w:p>
        <w:p w14:paraId="17AB54C2" w14:textId="7865EDC7" w:rsidR="00572DBF" w:rsidRDefault="00572DBF">
          <w:pPr>
            <w:pStyle w:val="TDC1"/>
            <w:tabs>
              <w:tab w:val="right" w:leader="dot" w:pos="9350"/>
            </w:tabs>
            <w:rPr>
              <w:rFonts w:asciiTheme="minorHAnsi" w:eastAsiaTheme="minorEastAsia" w:hAnsiTheme="minorHAnsi"/>
              <w:noProof/>
              <w:sz w:val="22"/>
              <w:lang w:eastAsia="es-CO"/>
            </w:rPr>
          </w:pPr>
          <w:hyperlink w:anchor="_Toc172121806" w:history="1">
            <w:r w:rsidRPr="00144E06">
              <w:rPr>
                <w:rStyle w:val="Hipervnculo"/>
                <w:noProof/>
              </w:rPr>
              <w:t>Objetivos de la investigación</w:t>
            </w:r>
            <w:r>
              <w:rPr>
                <w:noProof/>
                <w:webHidden/>
              </w:rPr>
              <w:tab/>
            </w:r>
            <w:r>
              <w:rPr>
                <w:noProof/>
                <w:webHidden/>
              </w:rPr>
              <w:fldChar w:fldCharType="begin"/>
            </w:r>
            <w:r>
              <w:rPr>
                <w:noProof/>
                <w:webHidden/>
              </w:rPr>
              <w:instrText xml:space="preserve"> PAGEREF _Toc172121806 \h </w:instrText>
            </w:r>
            <w:r>
              <w:rPr>
                <w:noProof/>
                <w:webHidden/>
              </w:rPr>
            </w:r>
            <w:r>
              <w:rPr>
                <w:noProof/>
                <w:webHidden/>
              </w:rPr>
              <w:fldChar w:fldCharType="separate"/>
            </w:r>
            <w:r>
              <w:rPr>
                <w:noProof/>
                <w:webHidden/>
              </w:rPr>
              <w:t>5</w:t>
            </w:r>
            <w:r>
              <w:rPr>
                <w:noProof/>
                <w:webHidden/>
              </w:rPr>
              <w:fldChar w:fldCharType="end"/>
            </w:r>
          </w:hyperlink>
        </w:p>
        <w:p w14:paraId="22DF6587" w14:textId="0792DFB5" w:rsidR="00572DBF" w:rsidRDefault="00572DBF">
          <w:pPr>
            <w:pStyle w:val="TDC1"/>
            <w:tabs>
              <w:tab w:val="right" w:leader="dot" w:pos="9350"/>
            </w:tabs>
            <w:rPr>
              <w:rFonts w:asciiTheme="minorHAnsi" w:eastAsiaTheme="minorEastAsia" w:hAnsiTheme="minorHAnsi"/>
              <w:noProof/>
              <w:sz w:val="22"/>
              <w:lang w:eastAsia="es-CO"/>
            </w:rPr>
          </w:pPr>
          <w:hyperlink w:anchor="_Toc172121807" w:history="1">
            <w:r w:rsidRPr="00144E06">
              <w:rPr>
                <w:rStyle w:val="Hipervnculo"/>
                <w:noProof/>
              </w:rPr>
              <w:t>Justificación</w:t>
            </w:r>
            <w:r>
              <w:rPr>
                <w:noProof/>
                <w:webHidden/>
              </w:rPr>
              <w:tab/>
            </w:r>
            <w:r>
              <w:rPr>
                <w:noProof/>
                <w:webHidden/>
              </w:rPr>
              <w:fldChar w:fldCharType="begin"/>
            </w:r>
            <w:r>
              <w:rPr>
                <w:noProof/>
                <w:webHidden/>
              </w:rPr>
              <w:instrText xml:space="preserve"> PAGEREF _Toc172121807 \h </w:instrText>
            </w:r>
            <w:r>
              <w:rPr>
                <w:noProof/>
                <w:webHidden/>
              </w:rPr>
            </w:r>
            <w:r>
              <w:rPr>
                <w:noProof/>
                <w:webHidden/>
              </w:rPr>
              <w:fldChar w:fldCharType="separate"/>
            </w:r>
            <w:r>
              <w:rPr>
                <w:noProof/>
                <w:webHidden/>
              </w:rPr>
              <w:t>5</w:t>
            </w:r>
            <w:r>
              <w:rPr>
                <w:noProof/>
                <w:webHidden/>
              </w:rPr>
              <w:fldChar w:fldCharType="end"/>
            </w:r>
          </w:hyperlink>
        </w:p>
        <w:p w14:paraId="6F46B7B8" w14:textId="59036407" w:rsidR="00572DBF" w:rsidRDefault="00572DBF">
          <w:pPr>
            <w:pStyle w:val="TDC1"/>
            <w:tabs>
              <w:tab w:val="right" w:leader="dot" w:pos="9350"/>
            </w:tabs>
            <w:rPr>
              <w:rFonts w:asciiTheme="minorHAnsi" w:eastAsiaTheme="minorEastAsia" w:hAnsiTheme="minorHAnsi"/>
              <w:noProof/>
              <w:sz w:val="22"/>
              <w:lang w:eastAsia="es-CO"/>
            </w:rPr>
          </w:pPr>
          <w:hyperlink w:anchor="_Toc172121808" w:history="1">
            <w:r w:rsidRPr="00144E06">
              <w:rPr>
                <w:rStyle w:val="Hipervnculo"/>
                <w:noProof/>
              </w:rPr>
              <w:t>Marco referencial</w:t>
            </w:r>
            <w:r>
              <w:rPr>
                <w:noProof/>
                <w:webHidden/>
              </w:rPr>
              <w:tab/>
            </w:r>
            <w:r>
              <w:rPr>
                <w:noProof/>
                <w:webHidden/>
              </w:rPr>
              <w:fldChar w:fldCharType="begin"/>
            </w:r>
            <w:r>
              <w:rPr>
                <w:noProof/>
                <w:webHidden/>
              </w:rPr>
              <w:instrText xml:space="preserve"> PAGEREF _Toc172121808 \h </w:instrText>
            </w:r>
            <w:r>
              <w:rPr>
                <w:noProof/>
                <w:webHidden/>
              </w:rPr>
            </w:r>
            <w:r>
              <w:rPr>
                <w:noProof/>
                <w:webHidden/>
              </w:rPr>
              <w:fldChar w:fldCharType="separate"/>
            </w:r>
            <w:r>
              <w:rPr>
                <w:noProof/>
                <w:webHidden/>
              </w:rPr>
              <w:t>7</w:t>
            </w:r>
            <w:r>
              <w:rPr>
                <w:noProof/>
                <w:webHidden/>
              </w:rPr>
              <w:fldChar w:fldCharType="end"/>
            </w:r>
          </w:hyperlink>
        </w:p>
        <w:p w14:paraId="0702F938" w14:textId="4E1C87D6" w:rsidR="00572DBF" w:rsidRDefault="00572DBF">
          <w:pPr>
            <w:pStyle w:val="TDC2"/>
            <w:tabs>
              <w:tab w:val="right" w:leader="dot" w:pos="9350"/>
            </w:tabs>
            <w:rPr>
              <w:rFonts w:asciiTheme="minorHAnsi" w:eastAsiaTheme="minorEastAsia" w:hAnsiTheme="minorHAnsi"/>
              <w:noProof/>
              <w:sz w:val="22"/>
              <w:lang w:eastAsia="es-CO"/>
            </w:rPr>
          </w:pPr>
          <w:hyperlink w:anchor="_Toc172121809" w:history="1">
            <w:r w:rsidRPr="00144E06">
              <w:rPr>
                <w:rStyle w:val="Hipervnculo"/>
                <w:noProof/>
              </w:rPr>
              <w:t>Marco teórico</w:t>
            </w:r>
            <w:r>
              <w:rPr>
                <w:noProof/>
                <w:webHidden/>
              </w:rPr>
              <w:tab/>
            </w:r>
            <w:r>
              <w:rPr>
                <w:noProof/>
                <w:webHidden/>
              </w:rPr>
              <w:fldChar w:fldCharType="begin"/>
            </w:r>
            <w:r>
              <w:rPr>
                <w:noProof/>
                <w:webHidden/>
              </w:rPr>
              <w:instrText xml:space="preserve"> PAGEREF _Toc172121809 \h </w:instrText>
            </w:r>
            <w:r>
              <w:rPr>
                <w:noProof/>
                <w:webHidden/>
              </w:rPr>
            </w:r>
            <w:r>
              <w:rPr>
                <w:noProof/>
                <w:webHidden/>
              </w:rPr>
              <w:fldChar w:fldCharType="separate"/>
            </w:r>
            <w:r>
              <w:rPr>
                <w:noProof/>
                <w:webHidden/>
              </w:rPr>
              <w:t>7</w:t>
            </w:r>
            <w:r>
              <w:rPr>
                <w:noProof/>
                <w:webHidden/>
              </w:rPr>
              <w:fldChar w:fldCharType="end"/>
            </w:r>
          </w:hyperlink>
        </w:p>
        <w:p w14:paraId="181F9810" w14:textId="2AB8403B" w:rsidR="00572DBF" w:rsidRDefault="00572DBF">
          <w:pPr>
            <w:pStyle w:val="TDC1"/>
            <w:tabs>
              <w:tab w:val="right" w:leader="dot" w:pos="9350"/>
            </w:tabs>
            <w:rPr>
              <w:rFonts w:asciiTheme="minorHAnsi" w:eastAsiaTheme="minorEastAsia" w:hAnsiTheme="minorHAnsi"/>
              <w:noProof/>
              <w:sz w:val="22"/>
              <w:lang w:eastAsia="es-CO"/>
            </w:rPr>
          </w:pPr>
          <w:hyperlink w:anchor="_Toc172121810" w:history="1">
            <w:r w:rsidRPr="00144E06">
              <w:rPr>
                <w:rStyle w:val="Hipervnculo"/>
                <w:rFonts w:eastAsia="Times New Roman"/>
                <w:noProof/>
                <w:lang w:eastAsia="es-CO"/>
              </w:rPr>
              <w:t>Metodología</w:t>
            </w:r>
            <w:r>
              <w:rPr>
                <w:noProof/>
                <w:webHidden/>
              </w:rPr>
              <w:tab/>
            </w:r>
            <w:r>
              <w:rPr>
                <w:noProof/>
                <w:webHidden/>
              </w:rPr>
              <w:fldChar w:fldCharType="begin"/>
            </w:r>
            <w:r>
              <w:rPr>
                <w:noProof/>
                <w:webHidden/>
              </w:rPr>
              <w:instrText xml:space="preserve"> PAGEREF _Toc172121810 \h </w:instrText>
            </w:r>
            <w:r>
              <w:rPr>
                <w:noProof/>
                <w:webHidden/>
              </w:rPr>
            </w:r>
            <w:r>
              <w:rPr>
                <w:noProof/>
                <w:webHidden/>
              </w:rPr>
              <w:fldChar w:fldCharType="separate"/>
            </w:r>
            <w:r>
              <w:rPr>
                <w:noProof/>
                <w:webHidden/>
              </w:rPr>
              <w:t>17</w:t>
            </w:r>
            <w:r>
              <w:rPr>
                <w:noProof/>
                <w:webHidden/>
              </w:rPr>
              <w:fldChar w:fldCharType="end"/>
            </w:r>
          </w:hyperlink>
        </w:p>
        <w:p w14:paraId="0F195291" w14:textId="27BA9BF5" w:rsidR="00572DBF" w:rsidRDefault="00572DBF">
          <w:pPr>
            <w:pStyle w:val="TDC1"/>
            <w:tabs>
              <w:tab w:val="right" w:leader="dot" w:pos="9350"/>
            </w:tabs>
            <w:rPr>
              <w:rFonts w:asciiTheme="minorHAnsi" w:eastAsiaTheme="minorEastAsia" w:hAnsiTheme="minorHAnsi"/>
              <w:noProof/>
              <w:sz w:val="22"/>
              <w:lang w:eastAsia="es-CO"/>
            </w:rPr>
          </w:pPr>
          <w:hyperlink w:anchor="_Toc172121811" w:history="1">
            <w:r w:rsidRPr="00144E06">
              <w:rPr>
                <w:rStyle w:val="Hipervnculo"/>
                <w:rFonts w:eastAsia="Times New Roman"/>
                <w:noProof/>
                <w:lang w:eastAsia="es-CO"/>
              </w:rPr>
              <w:t>Resultados</w:t>
            </w:r>
            <w:r>
              <w:rPr>
                <w:noProof/>
                <w:webHidden/>
              </w:rPr>
              <w:tab/>
            </w:r>
            <w:r>
              <w:rPr>
                <w:noProof/>
                <w:webHidden/>
              </w:rPr>
              <w:fldChar w:fldCharType="begin"/>
            </w:r>
            <w:r>
              <w:rPr>
                <w:noProof/>
                <w:webHidden/>
              </w:rPr>
              <w:instrText xml:space="preserve"> PAGEREF _Toc172121811 \h </w:instrText>
            </w:r>
            <w:r>
              <w:rPr>
                <w:noProof/>
                <w:webHidden/>
              </w:rPr>
            </w:r>
            <w:r>
              <w:rPr>
                <w:noProof/>
                <w:webHidden/>
              </w:rPr>
              <w:fldChar w:fldCharType="separate"/>
            </w:r>
            <w:r>
              <w:rPr>
                <w:noProof/>
                <w:webHidden/>
              </w:rPr>
              <w:t>18</w:t>
            </w:r>
            <w:r>
              <w:rPr>
                <w:noProof/>
                <w:webHidden/>
              </w:rPr>
              <w:fldChar w:fldCharType="end"/>
            </w:r>
          </w:hyperlink>
        </w:p>
        <w:p w14:paraId="5981335B" w14:textId="732E7336" w:rsidR="00572DBF" w:rsidRDefault="00572DBF">
          <w:pPr>
            <w:pStyle w:val="TDC2"/>
            <w:tabs>
              <w:tab w:val="right" w:leader="dot" w:pos="9350"/>
            </w:tabs>
            <w:rPr>
              <w:rFonts w:asciiTheme="minorHAnsi" w:eastAsiaTheme="minorEastAsia" w:hAnsiTheme="minorHAnsi"/>
              <w:noProof/>
              <w:sz w:val="22"/>
              <w:lang w:eastAsia="es-CO"/>
            </w:rPr>
          </w:pPr>
          <w:hyperlink w:anchor="_Toc172121812" w:history="1">
            <w:r w:rsidRPr="00144E06">
              <w:rPr>
                <w:rStyle w:val="Hipervnculo"/>
                <w:noProof/>
              </w:rPr>
              <w:t>Revisión de artículos académicos y publicaciones especializadas sobre la aplicación del IVA en el sector de la construcción</w:t>
            </w:r>
            <w:r>
              <w:rPr>
                <w:noProof/>
                <w:webHidden/>
              </w:rPr>
              <w:tab/>
            </w:r>
            <w:r>
              <w:rPr>
                <w:noProof/>
                <w:webHidden/>
              </w:rPr>
              <w:fldChar w:fldCharType="begin"/>
            </w:r>
            <w:r>
              <w:rPr>
                <w:noProof/>
                <w:webHidden/>
              </w:rPr>
              <w:instrText xml:space="preserve"> PAGEREF _Toc172121812 \h </w:instrText>
            </w:r>
            <w:r>
              <w:rPr>
                <w:noProof/>
                <w:webHidden/>
              </w:rPr>
            </w:r>
            <w:r>
              <w:rPr>
                <w:noProof/>
                <w:webHidden/>
              </w:rPr>
              <w:fldChar w:fldCharType="separate"/>
            </w:r>
            <w:r>
              <w:rPr>
                <w:noProof/>
                <w:webHidden/>
              </w:rPr>
              <w:t>18</w:t>
            </w:r>
            <w:r>
              <w:rPr>
                <w:noProof/>
                <w:webHidden/>
              </w:rPr>
              <w:fldChar w:fldCharType="end"/>
            </w:r>
          </w:hyperlink>
        </w:p>
        <w:p w14:paraId="4C9C0A1E" w14:textId="441252E1" w:rsidR="00572DBF" w:rsidRDefault="00572DBF">
          <w:pPr>
            <w:pStyle w:val="TDC2"/>
            <w:tabs>
              <w:tab w:val="right" w:leader="dot" w:pos="9350"/>
            </w:tabs>
            <w:rPr>
              <w:rFonts w:asciiTheme="minorHAnsi" w:eastAsiaTheme="minorEastAsia" w:hAnsiTheme="minorHAnsi"/>
              <w:noProof/>
              <w:sz w:val="22"/>
              <w:lang w:eastAsia="es-CO"/>
            </w:rPr>
          </w:pPr>
          <w:hyperlink w:anchor="_Toc172121813" w:history="1">
            <w:r w:rsidRPr="00144E06">
              <w:rPr>
                <w:rStyle w:val="Hipervnculo"/>
                <w:noProof/>
              </w:rPr>
              <w:t>Análisis de reportes y documentos fiscales sobre prácticas indebidas con el IVA descontable</w:t>
            </w:r>
            <w:r>
              <w:rPr>
                <w:noProof/>
                <w:webHidden/>
              </w:rPr>
              <w:tab/>
            </w:r>
            <w:r>
              <w:rPr>
                <w:noProof/>
                <w:webHidden/>
              </w:rPr>
              <w:fldChar w:fldCharType="begin"/>
            </w:r>
            <w:r>
              <w:rPr>
                <w:noProof/>
                <w:webHidden/>
              </w:rPr>
              <w:instrText xml:space="preserve"> PAGEREF _Toc172121813 \h </w:instrText>
            </w:r>
            <w:r>
              <w:rPr>
                <w:noProof/>
                <w:webHidden/>
              </w:rPr>
            </w:r>
            <w:r>
              <w:rPr>
                <w:noProof/>
                <w:webHidden/>
              </w:rPr>
              <w:fldChar w:fldCharType="separate"/>
            </w:r>
            <w:r>
              <w:rPr>
                <w:noProof/>
                <w:webHidden/>
              </w:rPr>
              <w:t>19</w:t>
            </w:r>
            <w:r>
              <w:rPr>
                <w:noProof/>
                <w:webHidden/>
              </w:rPr>
              <w:fldChar w:fldCharType="end"/>
            </w:r>
          </w:hyperlink>
        </w:p>
        <w:p w14:paraId="193CF57F" w14:textId="30FB553E" w:rsidR="00572DBF" w:rsidRDefault="00572DBF">
          <w:pPr>
            <w:pStyle w:val="TDC1"/>
            <w:tabs>
              <w:tab w:val="right" w:leader="dot" w:pos="9350"/>
            </w:tabs>
            <w:rPr>
              <w:rFonts w:asciiTheme="minorHAnsi" w:eastAsiaTheme="minorEastAsia" w:hAnsiTheme="minorHAnsi"/>
              <w:noProof/>
              <w:sz w:val="22"/>
              <w:lang w:eastAsia="es-CO"/>
            </w:rPr>
          </w:pPr>
          <w:hyperlink w:anchor="_Toc172121814" w:history="1">
            <w:r w:rsidRPr="00144E06">
              <w:rPr>
                <w:rStyle w:val="Hipervnculo"/>
                <w:rFonts w:eastAsia="Times New Roman"/>
                <w:noProof/>
                <w:lang w:eastAsia="es-CO"/>
              </w:rPr>
              <w:t>Conclusiones</w:t>
            </w:r>
            <w:r>
              <w:rPr>
                <w:noProof/>
                <w:webHidden/>
              </w:rPr>
              <w:tab/>
            </w:r>
            <w:r>
              <w:rPr>
                <w:noProof/>
                <w:webHidden/>
              </w:rPr>
              <w:fldChar w:fldCharType="begin"/>
            </w:r>
            <w:r>
              <w:rPr>
                <w:noProof/>
                <w:webHidden/>
              </w:rPr>
              <w:instrText xml:space="preserve"> PAGEREF _Toc172121814 \h </w:instrText>
            </w:r>
            <w:r>
              <w:rPr>
                <w:noProof/>
                <w:webHidden/>
              </w:rPr>
            </w:r>
            <w:r>
              <w:rPr>
                <w:noProof/>
                <w:webHidden/>
              </w:rPr>
              <w:fldChar w:fldCharType="separate"/>
            </w:r>
            <w:r>
              <w:rPr>
                <w:noProof/>
                <w:webHidden/>
              </w:rPr>
              <w:t>21</w:t>
            </w:r>
            <w:r>
              <w:rPr>
                <w:noProof/>
                <w:webHidden/>
              </w:rPr>
              <w:fldChar w:fldCharType="end"/>
            </w:r>
          </w:hyperlink>
        </w:p>
        <w:p w14:paraId="52A2BF62" w14:textId="73182AD3" w:rsidR="00572DBF" w:rsidRDefault="00572DBF">
          <w:pPr>
            <w:pStyle w:val="TDC1"/>
            <w:tabs>
              <w:tab w:val="right" w:leader="dot" w:pos="9350"/>
            </w:tabs>
            <w:rPr>
              <w:rFonts w:asciiTheme="minorHAnsi" w:eastAsiaTheme="minorEastAsia" w:hAnsiTheme="minorHAnsi"/>
              <w:noProof/>
              <w:sz w:val="22"/>
              <w:lang w:eastAsia="es-CO"/>
            </w:rPr>
          </w:pPr>
          <w:hyperlink w:anchor="_Toc172121815" w:history="1">
            <w:r w:rsidRPr="00144E06">
              <w:rPr>
                <w:rStyle w:val="Hipervnculo"/>
                <w:noProof/>
              </w:rPr>
              <w:t>Referencias</w:t>
            </w:r>
            <w:r>
              <w:rPr>
                <w:noProof/>
                <w:webHidden/>
              </w:rPr>
              <w:tab/>
            </w:r>
            <w:r>
              <w:rPr>
                <w:noProof/>
                <w:webHidden/>
              </w:rPr>
              <w:fldChar w:fldCharType="begin"/>
            </w:r>
            <w:r>
              <w:rPr>
                <w:noProof/>
                <w:webHidden/>
              </w:rPr>
              <w:instrText xml:space="preserve"> PAGEREF _Toc172121815 \h </w:instrText>
            </w:r>
            <w:r>
              <w:rPr>
                <w:noProof/>
                <w:webHidden/>
              </w:rPr>
            </w:r>
            <w:r>
              <w:rPr>
                <w:noProof/>
                <w:webHidden/>
              </w:rPr>
              <w:fldChar w:fldCharType="separate"/>
            </w:r>
            <w:r>
              <w:rPr>
                <w:noProof/>
                <w:webHidden/>
              </w:rPr>
              <w:t>23</w:t>
            </w:r>
            <w:r>
              <w:rPr>
                <w:noProof/>
                <w:webHidden/>
              </w:rPr>
              <w:fldChar w:fldCharType="end"/>
            </w:r>
          </w:hyperlink>
        </w:p>
        <w:p w14:paraId="521CDE56" w14:textId="4894FFEC" w:rsidR="00807513" w:rsidRPr="00807513" w:rsidRDefault="00807513" w:rsidP="003A095E">
          <w:pPr>
            <w:spacing w:line="480" w:lineRule="auto"/>
            <w:rPr>
              <w:rFonts w:cs="Times New Roman"/>
              <w:szCs w:val="24"/>
            </w:rPr>
          </w:pPr>
          <w:r w:rsidRPr="00807513">
            <w:rPr>
              <w:rFonts w:cs="Times New Roman"/>
              <w:b/>
              <w:bCs/>
              <w:szCs w:val="24"/>
              <w:lang w:val="es-ES"/>
            </w:rPr>
            <w:fldChar w:fldCharType="end"/>
          </w:r>
        </w:p>
      </w:sdtContent>
    </w:sdt>
    <w:p w14:paraId="7E710C47" w14:textId="5D49A662" w:rsidR="001606C5" w:rsidRPr="00807513" w:rsidRDefault="001606C5" w:rsidP="003A095E">
      <w:pPr>
        <w:spacing w:before="240" w:line="480" w:lineRule="auto"/>
        <w:ind w:firstLine="0"/>
        <w:jc w:val="left"/>
        <w:rPr>
          <w:rFonts w:cs="Times New Roman"/>
          <w:b/>
          <w:bCs/>
          <w:szCs w:val="24"/>
        </w:rPr>
      </w:pPr>
    </w:p>
    <w:p w14:paraId="6D80E0A8" w14:textId="04376BD2" w:rsidR="00807513" w:rsidRPr="00807513" w:rsidRDefault="00807513" w:rsidP="003A095E">
      <w:pPr>
        <w:spacing w:before="240" w:line="480" w:lineRule="auto"/>
        <w:ind w:firstLine="0"/>
        <w:jc w:val="left"/>
        <w:rPr>
          <w:rFonts w:cs="Times New Roman"/>
          <w:b/>
          <w:bCs/>
          <w:szCs w:val="24"/>
        </w:rPr>
      </w:pPr>
    </w:p>
    <w:p w14:paraId="3B121E87" w14:textId="58685147" w:rsidR="00807513" w:rsidRDefault="00807513" w:rsidP="003A095E">
      <w:pPr>
        <w:spacing w:before="240" w:line="480" w:lineRule="auto"/>
        <w:ind w:firstLine="0"/>
        <w:jc w:val="left"/>
        <w:rPr>
          <w:rFonts w:cs="Times New Roman"/>
          <w:b/>
          <w:bCs/>
          <w:szCs w:val="24"/>
        </w:rPr>
      </w:pPr>
    </w:p>
    <w:p w14:paraId="3503053C" w14:textId="77777777" w:rsidR="00976C23" w:rsidRDefault="00976C23" w:rsidP="003A095E">
      <w:pPr>
        <w:spacing w:before="240" w:line="480" w:lineRule="auto"/>
        <w:ind w:firstLine="0"/>
        <w:jc w:val="left"/>
        <w:rPr>
          <w:rFonts w:cs="Times New Roman"/>
          <w:b/>
          <w:bCs/>
          <w:szCs w:val="24"/>
        </w:rPr>
      </w:pPr>
    </w:p>
    <w:p w14:paraId="481EE645" w14:textId="77777777" w:rsidR="00807513" w:rsidRPr="001606C5" w:rsidRDefault="00807513" w:rsidP="003A095E">
      <w:pPr>
        <w:spacing w:before="240" w:line="480" w:lineRule="auto"/>
        <w:ind w:firstLine="0"/>
        <w:jc w:val="left"/>
        <w:rPr>
          <w:rFonts w:cs="Times New Roman"/>
          <w:b/>
          <w:bCs/>
          <w:szCs w:val="24"/>
        </w:rPr>
      </w:pPr>
    </w:p>
    <w:p w14:paraId="5146B30D" w14:textId="7F53ED6A" w:rsidR="00240ECA" w:rsidRPr="001606C5" w:rsidRDefault="001A3772" w:rsidP="003A095E">
      <w:pPr>
        <w:pStyle w:val="Ttulo1"/>
        <w:spacing w:line="480" w:lineRule="auto"/>
      </w:pPr>
      <w:bookmarkStart w:id="0" w:name="_Toc172121805"/>
      <w:r w:rsidRPr="001606C5">
        <w:t>Descripción del problema</w:t>
      </w:r>
      <w:bookmarkEnd w:id="0"/>
    </w:p>
    <w:p w14:paraId="5810B478" w14:textId="22553320" w:rsidR="00240ECA" w:rsidRPr="00EE1486" w:rsidRDefault="00240ECA" w:rsidP="003A095E">
      <w:pPr>
        <w:spacing w:before="240" w:line="480" w:lineRule="auto"/>
        <w:jc w:val="left"/>
        <w:rPr>
          <w:rFonts w:cs="Times New Roman"/>
          <w:szCs w:val="24"/>
        </w:rPr>
      </w:pPr>
    </w:p>
    <w:p w14:paraId="1546425E" w14:textId="77777777" w:rsidR="00B53253" w:rsidRPr="00EE1486" w:rsidRDefault="00B53253"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Los ingresos del Estado colombiano dependen significativamente de diversos tributos, siendo el impuesto al valor agregado (IVA) uno de los principales mecanismos de recaudación. Según Ramírez Cardona (1998), el IVA fue adoptado en Colombia mediante el Decreto 3288 del 30 de diciembre de 1963 y entró en vigencia en 1965 con la Ley 20631, inicialmente gravando a productores e importadores con una tarifa del 10%. Desde entonces, el IVA ha evolucionado, pasando de ser un impuesto monofásico que gravaba únicamente las actividades de manufactura e importación, a convertirse en un impuesto plurifásico que grava todas las fases de producción y comercialización hasta el consumidor final. Este cambio se implementó como una estrategia para mejorar la crisis económica del país (“Así ha evolucionado el IVA en Colombia”, 2016).</w:t>
      </w:r>
    </w:p>
    <w:p w14:paraId="436CCDBD" w14:textId="77777777" w:rsidR="00B53253" w:rsidRPr="00EE1486" w:rsidRDefault="00B53253"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El sector de la construcción es vital para la economía colombiana, generando empleo significativo, especialmente entre la población más vulnerable, al incluir mano de obra no calificada y diversos profesionales. En los últimos años, la construcción ha sido uno de los sectores más dinámicos e impulsores de la economía nacional. El concepto de AIU, que comprende Administración (A), Imprevistos (I) y Utilidad (U), es fundamental en el sector y sirve como base para el cálculo del IVA (Molina y Vargas, 2013).</w:t>
      </w:r>
    </w:p>
    <w:p w14:paraId="401DB157" w14:textId="2F3C7C46" w:rsidR="00B53253" w:rsidRPr="00EE1486" w:rsidRDefault="00B53253"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El artículo 3 del Decreto 1372 establece </w:t>
      </w:r>
      <w:r w:rsidR="008F56C1" w:rsidRPr="00EE1486">
        <w:rPr>
          <w:rFonts w:eastAsia="Times New Roman" w:cs="Times New Roman"/>
          <w:szCs w:val="24"/>
          <w:lang w:eastAsia="es-CO"/>
        </w:rPr>
        <w:t>que,</w:t>
      </w:r>
      <w:r w:rsidRPr="00EE1486">
        <w:rPr>
          <w:rFonts w:eastAsia="Times New Roman" w:cs="Times New Roman"/>
          <w:szCs w:val="24"/>
          <w:lang w:eastAsia="es-CO"/>
        </w:rPr>
        <w:t xml:space="preserve"> en los contratos de construcción de bienes inmuebles, el IVA se genera sobre los ingresos correspondientes a los honorarios del constructor. Si no se pactan honorarios, el impuesto se aplicará sobre la remuneración del servicio que </w:t>
      </w:r>
      <w:r w:rsidRPr="00EE1486">
        <w:rPr>
          <w:rFonts w:eastAsia="Times New Roman" w:cs="Times New Roman"/>
          <w:szCs w:val="24"/>
          <w:lang w:eastAsia="es-CO"/>
        </w:rPr>
        <w:lastRenderedPageBreak/>
        <w:t>corresponda a la utilidad del constructor. La normativa, según el artículo 1.3.1.7.9 del Decreto 1625 de 2016, especifica que el impuesto debe generarse sobre los honorarios obtenidos por el constructor y, en ausencia de estos, sobre la remuneración del servicio relacionado con la utilidad del constructor. Sin embargo, esta disposición puede llevar a una aplicación incorrecta del impuesto sobre las ventas.</w:t>
      </w:r>
    </w:p>
    <w:p w14:paraId="4E291CBD" w14:textId="77777777" w:rsidR="00B53253" w:rsidRPr="00EE1486" w:rsidRDefault="00B53253"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En Colombia, se ha detectado un problema significativo en la aplicación del IVA en el AIU, donde algunos contribuyentes están haciendo un uso indebido de los IVA descontables generados tanto en el contrato como en el AIU. La problemática radica en que los constructores buscan maximizar sus utilidades descontándose un impuesto al cual no tienen derecho, aprovechándose de la informalidad del sector, la falta de claridad normativa, la baja fiscalización y el abuso de la norma. Este comportamiento afecta la equidad y eficiencia del sistema tributario y representa una pérdida considerable de ingresos fiscales. La equidad del sistema se ve comprometida porque estas prácticas otorgan beneficios fiscales indebidos a ciertos contribuyentes, en detrimento de aquellos que cumplen adecuadamente con sus obligaciones tributarias (Guerrero Ramírez, 2019).</w:t>
      </w:r>
    </w:p>
    <w:p w14:paraId="2A4EADB5" w14:textId="7FF32180" w:rsidR="008F56C1" w:rsidRPr="00EE1486" w:rsidRDefault="00B53253"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Esta situación resalta la necesidad de una revisión exhaustiva de la normativa y de los mecanismos de control y fiscalización relacionados con el IVA en el AIU. Además, es crucial desarrollar estrategias de supervisión más efectivas para detectar y sancionar a los contribuyentes que estén utilizando de manera indebida los IVA descontables en el AIU (Sierra y Vargas, 2014).</w:t>
      </w:r>
    </w:p>
    <w:p w14:paraId="7748EEEB" w14:textId="4DE0C63E" w:rsidR="00DA55A4" w:rsidRPr="00EE1486" w:rsidRDefault="00AD3D2E" w:rsidP="003A095E">
      <w:pPr>
        <w:spacing w:before="240" w:line="480" w:lineRule="auto"/>
        <w:ind w:firstLine="0"/>
        <w:jc w:val="left"/>
        <w:rPr>
          <w:rFonts w:cs="Times New Roman"/>
          <w:szCs w:val="24"/>
        </w:rPr>
      </w:pPr>
      <w:r w:rsidRPr="00EE1486">
        <w:rPr>
          <w:rFonts w:cs="Times New Roman"/>
          <w:szCs w:val="24"/>
        </w:rPr>
        <w:t>Dado lo anterior, se formula la siguiente pregunta de investigación:</w:t>
      </w:r>
    </w:p>
    <w:p w14:paraId="49D2EBBC" w14:textId="2D5917A9" w:rsidR="000B30FC" w:rsidRPr="00EE1486" w:rsidRDefault="00BD44BA" w:rsidP="003A095E">
      <w:pPr>
        <w:spacing w:before="240" w:line="480" w:lineRule="auto"/>
        <w:ind w:firstLine="0"/>
        <w:jc w:val="left"/>
        <w:rPr>
          <w:rFonts w:cs="Times New Roman"/>
          <w:szCs w:val="24"/>
        </w:rPr>
      </w:pPr>
      <w:r w:rsidRPr="00EE1486">
        <w:rPr>
          <w:rFonts w:cs="Times New Roman"/>
          <w:szCs w:val="24"/>
        </w:rPr>
        <w:lastRenderedPageBreak/>
        <w:t>¿Cómo utilizan indebidamente los contribuyentes del sector de la construcción en Colombia el IVA descontable en el AIU, aprovechándose de la falta de control y fiscalización efectiva para incluir compras no asociadas al AIU?</w:t>
      </w:r>
    </w:p>
    <w:p w14:paraId="12C7B3EB" w14:textId="72B06D6D" w:rsidR="00775F51" w:rsidRPr="00EE1486" w:rsidRDefault="00C34344" w:rsidP="003A095E">
      <w:pPr>
        <w:pStyle w:val="Ttulo1"/>
        <w:spacing w:line="480" w:lineRule="auto"/>
      </w:pPr>
      <w:bookmarkStart w:id="1" w:name="_Toc172121806"/>
      <w:r w:rsidRPr="00EE1486">
        <w:t>Objeti</w:t>
      </w:r>
      <w:r w:rsidR="00280746" w:rsidRPr="00EE1486">
        <w:t>vos</w:t>
      </w:r>
      <w:r w:rsidR="00614696" w:rsidRPr="00EE1486">
        <w:t xml:space="preserve"> de la investigación</w:t>
      </w:r>
      <w:bookmarkEnd w:id="1"/>
    </w:p>
    <w:p w14:paraId="75CED992" w14:textId="77777777" w:rsidR="00614696" w:rsidRPr="00EE1486" w:rsidRDefault="00614696" w:rsidP="003A095E">
      <w:pPr>
        <w:pStyle w:val="Prrafodelista"/>
        <w:spacing w:before="240" w:line="480" w:lineRule="auto"/>
        <w:ind w:firstLine="0"/>
        <w:jc w:val="left"/>
        <w:rPr>
          <w:rFonts w:cs="Times New Roman"/>
          <w:b/>
          <w:bCs/>
          <w:szCs w:val="24"/>
        </w:rPr>
      </w:pPr>
    </w:p>
    <w:p w14:paraId="05A0505D" w14:textId="4F8AAEDD" w:rsidR="00C34344" w:rsidRPr="00EE1486" w:rsidRDefault="00614696" w:rsidP="003A095E">
      <w:pPr>
        <w:spacing w:before="240" w:line="480" w:lineRule="auto"/>
        <w:ind w:firstLine="0"/>
        <w:jc w:val="left"/>
        <w:rPr>
          <w:rFonts w:cs="Times New Roman"/>
          <w:b/>
          <w:bCs/>
          <w:szCs w:val="24"/>
        </w:rPr>
      </w:pPr>
      <w:r w:rsidRPr="00EE1486">
        <w:rPr>
          <w:rFonts w:cs="Times New Roman"/>
          <w:b/>
          <w:bCs/>
          <w:szCs w:val="24"/>
        </w:rPr>
        <w:t>Objetivo</w:t>
      </w:r>
      <w:r w:rsidR="00C34344" w:rsidRPr="00EE1486">
        <w:rPr>
          <w:rFonts w:cs="Times New Roman"/>
          <w:b/>
          <w:bCs/>
          <w:szCs w:val="24"/>
        </w:rPr>
        <w:t xml:space="preserve"> general</w:t>
      </w:r>
    </w:p>
    <w:p w14:paraId="2B356254" w14:textId="77777777" w:rsidR="000B30FC" w:rsidRPr="00EE1486" w:rsidRDefault="000B30F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Identificar cómo los contribuyentes del sector de la construcción en Colombia utilizan indebidamente el IVA descontable en el AIU, aprovechándose de la falta de control y fiscalización efectiva para incluir compras no asociadas al AIU.</w:t>
      </w:r>
    </w:p>
    <w:p w14:paraId="30BD0B06" w14:textId="4DED7CB2" w:rsidR="000B30FC" w:rsidRPr="00EE1486" w:rsidRDefault="00C34344" w:rsidP="003A095E">
      <w:pPr>
        <w:spacing w:before="240" w:line="480" w:lineRule="auto"/>
        <w:ind w:firstLine="0"/>
        <w:jc w:val="left"/>
        <w:rPr>
          <w:rFonts w:cs="Times New Roman"/>
          <w:b/>
          <w:bCs/>
          <w:szCs w:val="24"/>
        </w:rPr>
      </w:pPr>
      <w:r w:rsidRPr="00EE1486">
        <w:rPr>
          <w:rFonts w:cs="Times New Roman"/>
          <w:b/>
          <w:bCs/>
          <w:szCs w:val="24"/>
        </w:rPr>
        <w:t xml:space="preserve">Objetivos específicos </w:t>
      </w:r>
    </w:p>
    <w:p w14:paraId="78405CF8" w14:textId="2AD58B63" w:rsidR="000B30FC" w:rsidRPr="00EE1486" w:rsidRDefault="000B30F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Revisar artículos académicos y publicaciones especializadas sobre la aplicación del IVA en el sector de la construcción.</w:t>
      </w:r>
    </w:p>
    <w:p w14:paraId="499FC804" w14:textId="0BCB858D" w:rsidR="00335BD0" w:rsidRDefault="000B30FC" w:rsidP="003A095E">
      <w:pPr>
        <w:spacing w:before="240" w:line="480" w:lineRule="auto"/>
        <w:ind w:firstLine="0"/>
        <w:jc w:val="left"/>
        <w:rPr>
          <w:rFonts w:cs="Times New Roman"/>
          <w:szCs w:val="24"/>
        </w:rPr>
      </w:pPr>
      <w:r w:rsidRPr="00EE1486">
        <w:rPr>
          <w:rFonts w:eastAsia="Times New Roman" w:cs="Times New Roman"/>
          <w:szCs w:val="24"/>
          <w:lang w:eastAsia="es-CO"/>
        </w:rPr>
        <w:t>Analizar reportes y documentos de organismos fiscales y asociaciones del sector que evidencien prácticas indebidas con el IVA descontable.</w:t>
      </w:r>
    </w:p>
    <w:p w14:paraId="19CF1CDC" w14:textId="77777777" w:rsidR="00611B8C" w:rsidRPr="00EE1486" w:rsidRDefault="00611B8C" w:rsidP="003A095E">
      <w:pPr>
        <w:spacing w:before="240" w:line="480" w:lineRule="auto"/>
        <w:ind w:firstLine="0"/>
        <w:jc w:val="left"/>
        <w:rPr>
          <w:rFonts w:cs="Times New Roman"/>
          <w:szCs w:val="24"/>
        </w:rPr>
      </w:pPr>
    </w:p>
    <w:p w14:paraId="6B1D82BD" w14:textId="09A22BAF" w:rsidR="000B30FC" w:rsidRPr="00611B8C" w:rsidRDefault="00FC18B1" w:rsidP="00611B8C">
      <w:pPr>
        <w:pStyle w:val="Ttulo1"/>
        <w:spacing w:line="480" w:lineRule="auto"/>
      </w:pPr>
      <w:bookmarkStart w:id="2" w:name="_Toc172121807"/>
      <w:r w:rsidRPr="00EE1486">
        <w:t>Justificación</w:t>
      </w:r>
      <w:bookmarkEnd w:id="2"/>
    </w:p>
    <w:p w14:paraId="047F9DB2" w14:textId="77777777" w:rsidR="000B30FC" w:rsidRPr="00EE1486" w:rsidRDefault="000B30F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La investigación sobre el uso indebido del IVA descontable en el AIU por parte de los contribuyentes del sector de la construcción en Colombia es tanto necesaria como pertinente. Este estudio cualitativo y formativo se orienta a la comprensión de cómo la falta de mecanismos </w:t>
      </w:r>
      <w:r w:rsidRPr="00EE1486">
        <w:rPr>
          <w:rFonts w:eastAsia="Times New Roman" w:cs="Times New Roman"/>
          <w:szCs w:val="24"/>
          <w:lang w:eastAsia="es-CO"/>
        </w:rPr>
        <w:lastRenderedPageBreak/>
        <w:t>de control y fiscalización efectiva facilita prácticas indebidas que afectan la equidad y eficiencia del sistema tributario.</w:t>
      </w:r>
    </w:p>
    <w:p w14:paraId="2ED15AAE" w14:textId="77777777" w:rsidR="000B30FC" w:rsidRPr="00EE1486" w:rsidRDefault="000B30F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La necesidad de esta investigación radica en la identificación y análisis de los vacíos normativos y operativos que permiten a ciertos contribuyentes aprovecharse del sistema fiscal. Al documentar y comprender estas prácticas, se podrán desarrollar estrategias educativas y formativas que fortalezcan el conocimiento de los futuros profesionales en contaduría pública, especialmente en temas tributarios y fiscales. Este entendimiento no solo contribuye al campo académico, sino que también promueve una mayor responsabilidad y ética profesional entre los estudiantes.</w:t>
      </w:r>
    </w:p>
    <w:p w14:paraId="7F49E737" w14:textId="1E08D82C" w:rsidR="000B30FC" w:rsidRDefault="000B30F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La pertinencia de este estudio se manifiesta en su capacidad para proporcionar un contexto real y actual sobre los desafíos que enfrenta el sector de la construcción en relación con el IVA. Al centrarse en una problemática concreta y relevante, la investigación fomenta un aprendizaje significativo y contextualizado, permitiendo a los estudiantes aplicar conceptos teóricos a situaciones prácticas. Además, al ser una investigación formativa, no busca alcanzar conclusiones definitivas, sino más bien cultivar habilidades analíticas y críticas en los estudiantes, preparándolos para enfrentar situaciones similares en su futura práctica profesional.</w:t>
      </w:r>
    </w:p>
    <w:p w14:paraId="5459D54B" w14:textId="4FD6CD2A" w:rsidR="00611B8C" w:rsidRDefault="00611B8C" w:rsidP="003A095E">
      <w:pPr>
        <w:spacing w:before="240" w:line="480" w:lineRule="auto"/>
        <w:ind w:firstLine="0"/>
        <w:jc w:val="left"/>
        <w:rPr>
          <w:rFonts w:eastAsia="Times New Roman" w:cs="Times New Roman"/>
          <w:szCs w:val="24"/>
          <w:lang w:eastAsia="es-CO"/>
        </w:rPr>
      </w:pPr>
    </w:p>
    <w:p w14:paraId="7E899600" w14:textId="68CFC401" w:rsidR="00611B8C" w:rsidRDefault="00611B8C" w:rsidP="003A095E">
      <w:pPr>
        <w:spacing w:before="240" w:line="480" w:lineRule="auto"/>
        <w:ind w:firstLine="0"/>
        <w:jc w:val="left"/>
        <w:rPr>
          <w:rFonts w:eastAsia="Times New Roman" w:cs="Times New Roman"/>
          <w:szCs w:val="24"/>
          <w:lang w:eastAsia="es-CO"/>
        </w:rPr>
      </w:pPr>
    </w:p>
    <w:p w14:paraId="059F47EA" w14:textId="2D5445F2" w:rsidR="00611B8C" w:rsidRDefault="00611B8C" w:rsidP="003A095E">
      <w:pPr>
        <w:spacing w:before="240" w:line="480" w:lineRule="auto"/>
        <w:ind w:firstLine="0"/>
        <w:jc w:val="left"/>
        <w:rPr>
          <w:rFonts w:eastAsia="Times New Roman" w:cs="Times New Roman"/>
          <w:szCs w:val="24"/>
          <w:lang w:eastAsia="es-CO"/>
        </w:rPr>
      </w:pPr>
    </w:p>
    <w:p w14:paraId="150C1B33" w14:textId="7C362872" w:rsidR="00611B8C" w:rsidRDefault="00611B8C" w:rsidP="003A095E">
      <w:pPr>
        <w:spacing w:before="240" w:line="480" w:lineRule="auto"/>
        <w:ind w:firstLine="0"/>
        <w:jc w:val="left"/>
        <w:rPr>
          <w:rFonts w:eastAsia="Times New Roman" w:cs="Times New Roman"/>
          <w:szCs w:val="24"/>
          <w:lang w:eastAsia="es-CO"/>
        </w:rPr>
      </w:pPr>
    </w:p>
    <w:p w14:paraId="44BA8DF5" w14:textId="77777777" w:rsidR="00611B8C" w:rsidRPr="00611B8C" w:rsidRDefault="00611B8C" w:rsidP="003A095E">
      <w:pPr>
        <w:spacing w:before="240" w:line="480" w:lineRule="auto"/>
        <w:ind w:firstLine="0"/>
        <w:jc w:val="left"/>
        <w:rPr>
          <w:rFonts w:eastAsia="Times New Roman" w:cs="Times New Roman"/>
          <w:szCs w:val="24"/>
          <w:lang w:eastAsia="es-CO"/>
        </w:rPr>
      </w:pPr>
    </w:p>
    <w:p w14:paraId="50FE92CF" w14:textId="06CDB41E" w:rsidR="003D5E8E" w:rsidRPr="00EE1486" w:rsidRDefault="002A1D06" w:rsidP="003A095E">
      <w:pPr>
        <w:pStyle w:val="Ttulo1"/>
        <w:spacing w:line="480" w:lineRule="auto"/>
        <w:jc w:val="center"/>
      </w:pPr>
      <w:bookmarkStart w:id="3" w:name="_Toc172121808"/>
      <w:r w:rsidRPr="00EE1486">
        <w:t>Marco referencial</w:t>
      </w:r>
      <w:bookmarkEnd w:id="3"/>
    </w:p>
    <w:p w14:paraId="333D18D3" w14:textId="49EE27F3" w:rsidR="002A1D06" w:rsidRPr="00EE1486" w:rsidRDefault="002A1D06" w:rsidP="003A095E">
      <w:pPr>
        <w:spacing w:before="240" w:line="480" w:lineRule="auto"/>
        <w:ind w:firstLine="0"/>
        <w:jc w:val="left"/>
        <w:rPr>
          <w:rFonts w:cs="Times New Roman"/>
          <w:szCs w:val="24"/>
        </w:rPr>
      </w:pPr>
    </w:p>
    <w:p w14:paraId="2D015932" w14:textId="3156DD02" w:rsidR="00335BD0" w:rsidRPr="00EE1486" w:rsidRDefault="00335BD0" w:rsidP="003A095E">
      <w:pPr>
        <w:pStyle w:val="Ttulo2"/>
        <w:spacing w:line="480" w:lineRule="auto"/>
        <w:ind w:firstLine="0"/>
        <w:rPr>
          <w:b w:val="0"/>
        </w:rPr>
      </w:pPr>
      <w:bookmarkStart w:id="4" w:name="_Toc172121809"/>
      <w:r w:rsidRPr="00EE1486">
        <w:t>Marco teórico</w:t>
      </w:r>
      <w:bookmarkEnd w:id="4"/>
    </w:p>
    <w:p w14:paraId="20F32775" w14:textId="2B3D6DF3" w:rsidR="00A65D8D" w:rsidRPr="00EE1486" w:rsidRDefault="00A65D8D" w:rsidP="003A095E">
      <w:pPr>
        <w:spacing w:before="240" w:line="480" w:lineRule="auto"/>
        <w:ind w:firstLine="0"/>
        <w:jc w:val="left"/>
        <w:rPr>
          <w:rFonts w:cs="Times New Roman"/>
          <w:b/>
          <w:szCs w:val="24"/>
        </w:rPr>
      </w:pPr>
    </w:p>
    <w:p w14:paraId="6F68800A" w14:textId="4F498A23" w:rsidR="00C71DCD" w:rsidRPr="00D01BEA" w:rsidRDefault="00F14506" w:rsidP="003A095E">
      <w:pPr>
        <w:pStyle w:val="Subttulo"/>
        <w:spacing w:line="480" w:lineRule="auto"/>
      </w:pPr>
      <w:r w:rsidRPr="00D01BEA">
        <w:t>AIU (</w:t>
      </w:r>
      <w:r w:rsidR="00C71DCD" w:rsidRPr="00D01BEA">
        <w:t xml:space="preserve">Administración, </w:t>
      </w:r>
      <w:r w:rsidR="002F583B">
        <w:t>I</w:t>
      </w:r>
      <w:r w:rsidR="00C71DCD" w:rsidRPr="00D01BEA">
        <w:t xml:space="preserve">mprevistos y </w:t>
      </w:r>
      <w:r w:rsidR="002F583B">
        <w:t>U</w:t>
      </w:r>
      <w:r w:rsidR="00C71DCD" w:rsidRPr="00D01BEA">
        <w:t>tilidad</w:t>
      </w:r>
      <w:r w:rsidRPr="00D01BEA">
        <w:t>)</w:t>
      </w:r>
    </w:p>
    <w:p w14:paraId="008C3E89" w14:textId="77777777" w:rsidR="00A65D8D" w:rsidRPr="00EE1486" w:rsidRDefault="00A65D8D" w:rsidP="003A095E">
      <w:pPr>
        <w:spacing w:before="240" w:line="480" w:lineRule="auto"/>
        <w:ind w:firstLine="0"/>
        <w:jc w:val="left"/>
        <w:rPr>
          <w:rFonts w:cs="Times New Roman"/>
          <w:b/>
          <w:szCs w:val="24"/>
        </w:rPr>
      </w:pPr>
    </w:p>
    <w:p w14:paraId="1D150B76" w14:textId="50870E16" w:rsidR="00B86B60" w:rsidRPr="00EE1486" w:rsidRDefault="00B86B60"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El AIU (Administración, Imprevistos y Utilidad) es un concepto fundamental en la gestión de proyectos de construcción, que desglosa los costos indirectos y beneficios asociados a la ejecución de dichos proyectos. A </w:t>
      </w:r>
      <w:r w:rsidR="00807513" w:rsidRPr="00EE1486">
        <w:rPr>
          <w:rFonts w:eastAsia="Times New Roman" w:cs="Times New Roman"/>
          <w:szCs w:val="24"/>
          <w:lang w:eastAsia="es-CO"/>
        </w:rPr>
        <w:t>continuación,</w:t>
      </w:r>
      <w:r w:rsidRPr="00EE1486">
        <w:rPr>
          <w:rFonts w:eastAsia="Times New Roman" w:cs="Times New Roman"/>
          <w:szCs w:val="24"/>
          <w:lang w:eastAsia="es-CO"/>
        </w:rPr>
        <w:t xml:space="preserve"> se presenta una definición del AIU a partir de varios autores:</w:t>
      </w:r>
    </w:p>
    <w:p w14:paraId="05A72909" w14:textId="77777777" w:rsidR="002F583B" w:rsidRDefault="00B86B60"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La </w:t>
      </w:r>
      <w:r w:rsidRPr="00EE1486">
        <w:rPr>
          <w:rFonts w:eastAsia="Times New Roman" w:cs="Times New Roman"/>
          <w:b/>
          <w:bCs/>
          <w:szCs w:val="24"/>
          <w:lang w:eastAsia="es-CO"/>
        </w:rPr>
        <w:t>administración</w:t>
      </w:r>
      <w:r w:rsidRPr="00EE1486">
        <w:rPr>
          <w:rFonts w:eastAsia="Times New Roman" w:cs="Times New Roman"/>
          <w:szCs w:val="24"/>
          <w:lang w:eastAsia="es-CO"/>
        </w:rPr>
        <w:t xml:space="preserve"> incluye los costos indirectos indispensables para la correcta ejecución del proyecto, tales como honorarios, impuestos, arrendamientos y costos de personal necesarios para el desarrollo y funcionamiento adecuado del proyecto, según Pino Ricci (2005), Rodríguez (2024) y Martínez (2022).</w:t>
      </w:r>
      <w:r w:rsidR="00121D48" w:rsidRPr="00EE1486">
        <w:rPr>
          <w:rFonts w:eastAsia="Times New Roman" w:cs="Times New Roman"/>
          <w:szCs w:val="24"/>
          <w:lang w:eastAsia="es-CO"/>
        </w:rPr>
        <w:t xml:space="preserve"> </w:t>
      </w:r>
    </w:p>
    <w:p w14:paraId="77A3C621" w14:textId="77777777" w:rsidR="002F583B" w:rsidRDefault="00B86B60"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Los </w:t>
      </w:r>
      <w:r w:rsidRPr="00EE1486">
        <w:rPr>
          <w:rFonts w:eastAsia="Times New Roman" w:cs="Times New Roman"/>
          <w:b/>
          <w:bCs/>
          <w:szCs w:val="24"/>
          <w:lang w:eastAsia="es-CO"/>
        </w:rPr>
        <w:t>imprevistos</w:t>
      </w:r>
      <w:r w:rsidRPr="00EE1486">
        <w:rPr>
          <w:rFonts w:eastAsia="Times New Roman" w:cs="Times New Roman"/>
          <w:szCs w:val="24"/>
          <w:lang w:eastAsia="es-CO"/>
        </w:rPr>
        <w:t xml:space="preserve"> son fondos presupuestados para cubrir posibles sobrecostos durante la ejecución del proyecto, tales como retrasos por clima, accidentes laborales y otras eventualidades. Estos costos forman parte del riesgo normal de los contratos y no deben ser considerados automáticamente como utilidad si no se utilizan, como señalan Sierra y Vargas (2014), Rodríguez (2024), Herrera (2020) y García (2018).</w:t>
      </w:r>
      <w:r w:rsidR="00121D48" w:rsidRPr="00EE1486">
        <w:rPr>
          <w:rFonts w:eastAsia="Times New Roman" w:cs="Times New Roman"/>
          <w:szCs w:val="24"/>
          <w:lang w:eastAsia="es-CO"/>
        </w:rPr>
        <w:t xml:space="preserve"> </w:t>
      </w:r>
    </w:p>
    <w:p w14:paraId="7845D24B" w14:textId="78DDFF9B" w:rsidR="00B86B60" w:rsidRPr="00EE1486" w:rsidRDefault="00B86B60"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lastRenderedPageBreak/>
        <w:t xml:space="preserve">La </w:t>
      </w:r>
      <w:r w:rsidRPr="00EE1486">
        <w:rPr>
          <w:rFonts w:eastAsia="Times New Roman" w:cs="Times New Roman"/>
          <w:b/>
          <w:bCs/>
          <w:szCs w:val="24"/>
          <w:lang w:eastAsia="es-CO"/>
        </w:rPr>
        <w:t>utilidad</w:t>
      </w:r>
      <w:r w:rsidRPr="00EE1486">
        <w:rPr>
          <w:rFonts w:eastAsia="Times New Roman" w:cs="Times New Roman"/>
          <w:szCs w:val="24"/>
          <w:lang w:eastAsia="es-CO"/>
        </w:rPr>
        <w:t xml:space="preserve"> es el beneficio esperado por el contratista tras cumplir con sus obligaciones contractuales. Este margen de beneficio es fundamental para la sostenibilidad y crecimiento de la empresa contratista, como explican Rodríguez (2024), Herrera (2020), Martínez (2022), García (2018) y López (2016).</w:t>
      </w:r>
    </w:p>
    <w:p w14:paraId="29A16DC0" w14:textId="4AD5208D" w:rsidR="00B86B60" w:rsidRPr="00EE1486" w:rsidRDefault="00F14506"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En este </w:t>
      </w:r>
      <w:r w:rsidR="00807513" w:rsidRPr="00EE1486">
        <w:rPr>
          <w:rFonts w:eastAsia="Times New Roman" w:cs="Times New Roman"/>
          <w:szCs w:val="24"/>
          <w:lang w:eastAsia="es-CO"/>
        </w:rPr>
        <w:t>sentido, el</w:t>
      </w:r>
      <w:r w:rsidR="00B86B60" w:rsidRPr="00EE1486">
        <w:rPr>
          <w:rFonts w:eastAsia="Times New Roman" w:cs="Times New Roman"/>
          <w:szCs w:val="24"/>
          <w:lang w:eastAsia="es-CO"/>
        </w:rPr>
        <w:t xml:space="preserve"> AIU se utiliza no solo para gestionar y distribuir adecuadamente los costos indirectos de un proyecto, sino también como base especial para la liquidación del IVA y otros impuestos asociados a los servicios de construcción y otros específicos, de acuerdo con Herrera (2020), García (2018) y López (2016).</w:t>
      </w:r>
    </w:p>
    <w:p w14:paraId="3BEE9828" w14:textId="77777777" w:rsidR="00B86B60" w:rsidRPr="00EE1486" w:rsidRDefault="00B86B60" w:rsidP="003A095E">
      <w:pPr>
        <w:spacing w:before="240" w:line="480" w:lineRule="auto"/>
        <w:ind w:firstLine="0"/>
        <w:jc w:val="left"/>
        <w:rPr>
          <w:rFonts w:cs="Times New Roman"/>
          <w:b/>
          <w:szCs w:val="24"/>
        </w:rPr>
      </w:pPr>
    </w:p>
    <w:p w14:paraId="569E1C63" w14:textId="50A609F0" w:rsidR="00C71DCD" w:rsidRPr="00EE1486" w:rsidRDefault="00C71DCD" w:rsidP="003A095E">
      <w:pPr>
        <w:pStyle w:val="Subttulo"/>
        <w:spacing w:line="480" w:lineRule="auto"/>
      </w:pPr>
      <w:r w:rsidRPr="00EE1486">
        <w:t xml:space="preserve"> Sector de la construcción </w:t>
      </w:r>
    </w:p>
    <w:p w14:paraId="3AA34A76" w14:textId="77777777" w:rsidR="00F14506" w:rsidRPr="00EE1486" w:rsidRDefault="00F14506"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El sector de la construcción en Colombia se destaca por ser uno de los pilares fundamentales de la economía del país debido a su significativa generación de empleo y la extensa cadena productiva que depende de este sector. Hernández (2024) afirma que el sector de la construcción representa el 4,3% del PIB colombiano, crea 1,6 millones de empleos directos y demanda insumos de otros 36 sectores. Esta opinión se complementa con la de López (2016), quien subraya la capacidad del sector para generar empleo y mejorar la calidad de vida, destacando la importancia de la calidad en los procesos de diseño y construcción y su impacto en la sostenibilidad del sector.</w:t>
      </w:r>
    </w:p>
    <w:p w14:paraId="256C7366" w14:textId="77777777" w:rsidR="00F14506" w:rsidRPr="00EE1486" w:rsidRDefault="00F14506"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Por otro lado, Martínez (2022) señala que la ciclicidad del sector ha llevado a las constructoras a expandirse para garantizar ingresos recurrentes. Además, menciona que las medianas constructoras son particularmente rentables debido a su especialización en actividades concretas. </w:t>
      </w:r>
      <w:r w:rsidRPr="00EE1486">
        <w:rPr>
          <w:rFonts w:eastAsia="Times New Roman" w:cs="Times New Roman"/>
          <w:szCs w:val="24"/>
          <w:lang w:eastAsia="es-CO"/>
        </w:rPr>
        <w:lastRenderedPageBreak/>
        <w:t>Esta perspectiva se alinea con la de García (2018), quien destaca la utilización del concepto de AIU (Administración, Imprevistos y Utilidad) para calcular la base gravable del IVA en servicios de construcción, lo que ayuda a gestionar los costos indirectos y asegurar la rentabilidad del contratista.</w:t>
      </w:r>
    </w:p>
    <w:p w14:paraId="4C93E46C" w14:textId="77777777" w:rsidR="00F14506" w:rsidRPr="00EE1486" w:rsidRDefault="00F14506"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Además, el Servicio Nacional de Aprendizaje (SENA) (2019) proporciona una caracterización detallada del sector, subrayando su importancia en la generación de empleo y su impacto económico. Este análisis se complementa con las observaciones de Hernández (2024) y López (2016), quienes enfatizan la necesidad de infraestructura y la relevancia del sector en el desarrollo económico del país.</w:t>
      </w:r>
    </w:p>
    <w:p w14:paraId="2DF601CA" w14:textId="409D0934" w:rsidR="002F583B" w:rsidRDefault="002F583B" w:rsidP="002F583B">
      <w:pPr>
        <w:spacing w:before="240" w:line="480" w:lineRule="auto"/>
        <w:ind w:firstLine="0"/>
        <w:jc w:val="left"/>
        <w:rPr>
          <w:rFonts w:eastAsia="Times New Roman" w:cs="Times New Roman"/>
          <w:szCs w:val="24"/>
          <w:lang w:eastAsia="es-CO"/>
        </w:rPr>
      </w:pPr>
      <w:r>
        <w:rPr>
          <w:rFonts w:eastAsia="Times New Roman" w:cs="Times New Roman"/>
          <w:szCs w:val="24"/>
          <w:lang w:eastAsia="es-CO"/>
        </w:rPr>
        <w:t xml:space="preserve">En la siguiente imagen se observa que, en </w:t>
      </w:r>
      <w:r w:rsidRPr="002F583B">
        <w:rPr>
          <w:rFonts w:eastAsia="Times New Roman" w:cs="Times New Roman"/>
          <w:szCs w:val="24"/>
          <w:lang w:eastAsia="es-CO"/>
        </w:rPr>
        <w:t>el cuarto trimestre del 2023, se evidenció un crecimiento de ocho actividades productivas frente al mismo periodo del 2022: agricultura (6,0%), actividades financieras (5,5%), administración pública (3,8%), información y comunicaciones (3,1%), servicios públicos (3,0%), actividades inmobiliarias (1,9%), actividades profesionales (0,4%) y explotación de minas y canteras. Por su parte, hubo un decrecimiento de construcción (-1,6%), comercio al por mayor y menor (-2,3%), actividades artísticas (-3,0%), e industrias manufactureras (-4,8%).</w:t>
      </w:r>
    </w:p>
    <w:p w14:paraId="6376F7F7" w14:textId="34B3357A" w:rsidR="002F583B" w:rsidRPr="002F583B" w:rsidRDefault="002F583B" w:rsidP="002F583B">
      <w:pPr>
        <w:spacing w:before="240" w:line="480" w:lineRule="auto"/>
        <w:ind w:firstLine="0"/>
        <w:jc w:val="left"/>
        <w:rPr>
          <w:rFonts w:eastAsia="Times New Roman" w:cs="Times New Roman"/>
          <w:szCs w:val="24"/>
          <w:lang w:eastAsia="es-CO"/>
        </w:rPr>
      </w:pPr>
      <w:r w:rsidRPr="00252B9E">
        <w:rPr>
          <w:rFonts w:cs="Times New Roman"/>
          <w:b/>
          <w:szCs w:val="24"/>
        </w:rPr>
        <w:lastRenderedPageBreak/>
        <w:drawing>
          <wp:inline distT="0" distB="0" distL="0" distR="0" wp14:anchorId="5A175359" wp14:editId="4BE568DB">
            <wp:extent cx="5534797" cy="44773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34797" cy="4477375"/>
                    </a:xfrm>
                    <a:prstGeom prst="rect">
                      <a:avLst/>
                    </a:prstGeom>
                  </pic:spPr>
                </pic:pic>
              </a:graphicData>
            </a:graphic>
          </wp:inline>
        </w:drawing>
      </w:r>
    </w:p>
    <w:p w14:paraId="460FDF96" w14:textId="77777777" w:rsidR="002F583B" w:rsidRPr="00290B66" w:rsidRDefault="002F583B" w:rsidP="002F583B">
      <w:pPr>
        <w:spacing w:before="240" w:line="240" w:lineRule="auto"/>
        <w:ind w:firstLine="0"/>
        <w:jc w:val="left"/>
        <w:rPr>
          <w:rFonts w:cs="Times New Roman"/>
          <w:szCs w:val="24"/>
        </w:rPr>
      </w:pPr>
      <w:r w:rsidRPr="00290B66">
        <w:rPr>
          <w:rFonts w:cs="Times New Roman"/>
          <w:szCs w:val="24"/>
        </w:rPr>
        <w:t>PIB desde el enfoque de la producción</w:t>
      </w:r>
    </w:p>
    <w:p w14:paraId="6A015CB9" w14:textId="77777777" w:rsidR="002F583B" w:rsidRDefault="002F583B" w:rsidP="002F583B">
      <w:pPr>
        <w:spacing w:before="240" w:line="240" w:lineRule="auto"/>
        <w:ind w:firstLine="0"/>
        <w:jc w:val="left"/>
        <w:rPr>
          <w:rFonts w:cs="Times New Roman"/>
          <w:b/>
          <w:color w:val="FF0000"/>
          <w:szCs w:val="24"/>
        </w:rPr>
      </w:pPr>
      <w:r w:rsidRPr="00290B66">
        <w:rPr>
          <w:rFonts w:cs="Times New Roman"/>
          <w:szCs w:val="24"/>
        </w:rPr>
        <w:t xml:space="preserve">Fuente: </w:t>
      </w:r>
      <w:hyperlink r:id="rId12" w:history="1">
        <w:r w:rsidRPr="00290B66">
          <w:rPr>
            <w:rStyle w:val="Hipervnculo"/>
            <w:rFonts w:cs="Times New Roman"/>
            <w:szCs w:val="24"/>
          </w:rPr>
          <w:t>https://www.analdex.org/2024/03/04/informe-producto-interno-bruto-de-2023/</w:t>
        </w:r>
      </w:hyperlink>
    </w:p>
    <w:p w14:paraId="1FEC60AA" w14:textId="77777777" w:rsidR="002F583B" w:rsidRDefault="002F583B" w:rsidP="003A095E">
      <w:pPr>
        <w:spacing w:before="240" w:line="480" w:lineRule="auto"/>
        <w:ind w:firstLine="0"/>
        <w:jc w:val="left"/>
        <w:rPr>
          <w:rFonts w:eastAsia="Times New Roman" w:cs="Times New Roman"/>
          <w:szCs w:val="24"/>
          <w:lang w:eastAsia="es-CO"/>
        </w:rPr>
      </w:pPr>
    </w:p>
    <w:p w14:paraId="60AEF14D" w14:textId="58F3E6DC" w:rsidR="00F14506" w:rsidRPr="00EE1486" w:rsidRDefault="00F14506"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En conjunto, estos autores ofrecen una visión integral del sector de la construcción en Colombia, destacando su importancia económica y social, así como sus desafíos y oportunidades. Esta visión holística permite comprender la relevancia del sector para la economía colombiana y la necesidad de estrategias adecuadas para su desarrollo y sostenibilidad.</w:t>
      </w:r>
    </w:p>
    <w:p w14:paraId="215C377D" w14:textId="4A450BF6" w:rsidR="00121D48" w:rsidRDefault="00121D48" w:rsidP="003A095E">
      <w:pPr>
        <w:spacing w:before="240" w:line="480" w:lineRule="auto"/>
        <w:ind w:firstLine="0"/>
        <w:jc w:val="left"/>
        <w:rPr>
          <w:rFonts w:cs="Times New Roman"/>
          <w:b/>
          <w:szCs w:val="24"/>
        </w:rPr>
      </w:pPr>
    </w:p>
    <w:p w14:paraId="1CCEC28F" w14:textId="77777777" w:rsidR="00D01BEA" w:rsidRPr="00EE1486" w:rsidRDefault="00D01BEA" w:rsidP="003A095E">
      <w:pPr>
        <w:spacing w:before="240" w:line="480" w:lineRule="auto"/>
        <w:ind w:firstLine="0"/>
        <w:jc w:val="left"/>
        <w:rPr>
          <w:rFonts w:cs="Times New Roman"/>
          <w:b/>
          <w:szCs w:val="24"/>
        </w:rPr>
      </w:pPr>
    </w:p>
    <w:p w14:paraId="286357BE" w14:textId="074A989B" w:rsidR="00014672" w:rsidRPr="00D01BEA" w:rsidRDefault="00F14506" w:rsidP="003A095E">
      <w:pPr>
        <w:pStyle w:val="Subttulo"/>
        <w:spacing w:line="480" w:lineRule="auto"/>
      </w:pPr>
      <w:r w:rsidRPr="00EE1486">
        <w:lastRenderedPageBreak/>
        <w:t>I</w:t>
      </w:r>
      <w:r w:rsidR="002A1D06" w:rsidRPr="00EE1486">
        <w:t xml:space="preserve">mpuesto al </w:t>
      </w:r>
      <w:r w:rsidR="006B646D">
        <w:t>V</w:t>
      </w:r>
      <w:r w:rsidR="002A1D06" w:rsidRPr="00EE1486">
        <w:t xml:space="preserve">alor </w:t>
      </w:r>
      <w:r w:rsidR="006B646D">
        <w:t>A</w:t>
      </w:r>
      <w:r w:rsidR="002A1D06" w:rsidRPr="00EE1486">
        <w:t xml:space="preserve">gregado </w:t>
      </w:r>
      <w:r w:rsidR="006B646D">
        <w:t>(</w:t>
      </w:r>
      <w:r w:rsidR="002A1D06" w:rsidRPr="00EE1486">
        <w:t>IVA</w:t>
      </w:r>
      <w:r w:rsidR="006B646D">
        <w:t>)</w:t>
      </w:r>
      <w:r w:rsidR="002A1D06" w:rsidRPr="00EE1486">
        <w:t xml:space="preserve">   </w:t>
      </w:r>
    </w:p>
    <w:p w14:paraId="1DFA54F4" w14:textId="77777777" w:rsidR="00014672" w:rsidRPr="00EE1486" w:rsidRDefault="00014672"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El impuesto al valor agregado (IVA) en Colombia, al igual que en muchos otros países de la región, incluye una lista de productos con calificación exenta y reducida, abarcando típicamente alimentos, salud, educación y transporte. Esta estructura se debe a una combinación de preocupaciones de distribución y el deseo de fomentar el consumo de bienes específicos, lo que genera un gasto tributario al gobierno debido a la menor recaudación en comparación con un esquema de alícuotas uniformes sobre todos los bienes (</w:t>
      </w:r>
      <w:proofErr w:type="spellStart"/>
      <w:r w:rsidRPr="00EE1486">
        <w:rPr>
          <w:rFonts w:eastAsia="Times New Roman" w:cs="Times New Roman"/>
          <w:szCs w:val="24"/>
          <w:lang w:eastAsia="es-CO"/>
        </w:rPr>
        <w:t>Mirrlees</w:t>
      </w:r>
      <w:proofErr w:type="spellEnd"/>
      <w:r w:rsidRPr="00EE1486">
        <w:rPr>
          <w:rFonts w:eastAsia="Times New Roman" w:cs="Times New Roman"/>
          <w:szCs w:val="24"/>
          <w:lang w:eastAsia="es-CO"/>
        </w:rPr>
        <w:t>, 2011).</w:t>
      </w:r>
    </w:p>
    <w:p w14:paraId="2799CAE4" w14:textId="77777777" w:rsidR="00014672" w:rsidRPr="00EE1486" w:rsidRDefault="00014672"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El IVA es un tipo de impuesto indirecto que se aplica al valor añadido en cada etapa del proceso de producción y distribución de bienes y servicios. Se cobra en cada eslabón de la cadena de suministro, desde la producción inicial hasta la venta final al consumidor, y se basa en el consumo más que en los ingresos (</w:t>
      </w:r>
      <w:proofErr w:type="spellStart"/>
      <w:r w:rsidRPr="00EE1486">
        <w:rPr>
          <w:rFonts w:eastAsia="Times New Roman" w:cs="Times New Roman"/>
          <w:szCs w:val="24"/>
          <w:lang w:eastAsia="es-CO"/>
        </w:rPr>
        <w:t>Investopedia</w:t>
      </w:r>
      <w:proofErr w:type="spellEnd"/>
      <w:r w:rsidRPr="00EE1486">
        <w:rPr>
          <w:rFonts w:eastAsia="Times New Roman" w:cs="Times New Roman"/>
          <w:szCs w:val="24"/>
          <w:lang w:eastAsia="es-CO"/>
        </w:rPr>
        <w:t>, 2023). Según el Fondo Monetario Internacional (IMF), el IVA es una forma eficiente de recaudación que no distorsiona las decisiones de producción y es difícil de evadir, lo que lo convierte en una fuente sustancial de ingresos para los gobiernos (</w:t>
      </w:r>
      <w:proofErr w:type="spellStart"/>
      <w:r w:rsidRPr="00EE1486">
        <w:rPr>
          <w:rFonts w:eastAsia="Times New Roman" w:cs="Times New Roman"/>
          <w:szCs w:val="24"/>
          <w:lang w:eastAsia="es-CO"/>
        </w:rPr>
        <w:t>Keen</w:t>
      </w:r>
      <w:proofErr w:type="spellEnd"/>
      <w:r w:rsidRPr="00EE1486">
        <w:rPr>
          <w:rFonts w:eastAsia="Times New Roman" w:cs="Times New Roman"/>
          <w:szCs w:val="24"/>
          <w:lang w:eastAsia="es-CO"/>
        </w:rPr>
        <w:t xml:space="preserve">, 2011). Por su parte, la American </w:t>
      </w:r>
      <w:proofErr w:type="spellStart"/>
      <w:r w:rsidRPr="00EE1486">
        <w:rPr>
          <w:rFonts w:eastAsia="Times New Roman" w:cs="Times New Roman"/>
          <w:szCs w:val="24"/>
          <w:lang w:eastAsia="es-CO"/>
        </w:rPr>
        <w:t>Economic</w:t>
      </w:r>
      <w:proofErr w:type="spellEnd"/>
      <w:r w:rsidRPr="00EE1486">
        <w:rPr>
          <w:rFonts w:eastAsia="Times New Roman" w:cs="Times New Roman"/>
          <w:szCs w:val="24"/>
          <w:lang w:eastAsia="es-CO"/>
        </w:rPr>
        <w:t xml:space="preserve"> </w:t>
      </w:r>
      <w:proofErr w:type="spellStart"/>
      <w:r w:rsidRPr="00EE1486">
        <w:rPr>
          <w:rFonts w:eastAsia="Times New Roman" w:cs="Times New Roman"/>
          <w:szCs w:val="24"/>
          <w:lang w:eastAsia="es-CO"/>
        </w:rPr>
        <w:t>Association</w:t>
      </w:r>
      <w:proofErr w:type="spellEnd"/>
      <w:r w:rsidRPr="00EE1486">
        <w:rPr>
          <w:rFonts w:eastAsia="Times New Roman" w:cs="Times New Roman"/>
          <w:szCs w:val="24"/>
          <w:lang w:eastAsia="es-CO"/>
        </w:rPr>
        <w:t xml:space="preserve"> destaca que el IVA es fundamental en el sistema tributario moderno debido a sus propiedades deseables en teoría, como la neutralidad en la producción y la capacidad de generar ingresos significativos (American </w:t>
      </w:r>
      <w:proofErr w:type="spellStart"/>
      <w:r w:rsidRPr="00EE1486">
        <w:rPr>
          <w:rFonts w:eastAsia="Times New Roman" w:cs="Times New Roman"/>
          <w:szCs w:val="24"/>
          <w:lang w:eastAsia="es-CO"/>
        </w:rPr>
        <w:t>Economic</w:t>
      </w:r>
      <w:proofErr w:type="spellEnd"/>
      <w:r w:rsidRPr="00EE1486">
        <w:rPr>
          <w:rFonts w:eastAsia="Times New Roman" w:cs="Times New Roman"/>
          <w:szCs w:val="24"/>
          <w:lang w:eastAsia="es-CO"/>
        </w:rPr>
        <w:t xml:space="preserve"> </w:t>
      </w:r>
      <w:proofErr w:type="spellStart"/>
      <w:r w:rsidRPr="00EE1486">
        <w:rPr>
          <w:rFonts w:eastAsia="Times New Roman" w:cs="Times New Roman"/>
          <w:szCs w:val="24"/>
          <w:lang w:eastAsia="es-CO"/>
        </w:rPr>
        <w:t>Association</w:t>
      </w:r>
      <w:proofErr w:type="spellEnd"/>
      <w:r w:rsidRPr="00EE1486">
        <w:rPr>
          <w:rFonts w:eastAsia="Times New Roman" w:cs="Times New Roman"/>
          <w:szCs w:val="24"/>
          <w:lang w:eastAsia="es-CO"/>
        </w:rPr>
        <w:t>, 2020).</w:t>
      </w:r>
    </w:p>
    <w:p w14:paraId="520953C9" w14:textId="5CA92A35" w:rsidR="00014672" w:rsidRPr="00EE1486" w:rsidRDefault="00014672"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El IVA se aplica a la venta de bienes y servicios en general, con diversas tarifas de acuerdo con su clasificación. Puede ser gravado, exento o excluido según la determinación de la ley, siendo la tarifa más generalizada la del 19%. Sin embargo, no es la única tarifa contemplada. Este impuesto se encuentra en todos los momentos del ciclo económico, incluyendo </w:t>
      </w:r>
      <w:r w:rsidR="003B62AF" w:rsidRPr="00EE1486">
        <w:rPr>
          <w:rFonts w:eastAsia="Times New Roman" w:cs="Times New Roman"/>
          <w:szCs w:val="24"/>
          <w:lang w:eastAsia="es-CO"/>
        </w:rPr>
        <w:t xml:space="preserve">la </w:t>
      </w:r>
      <w:r w:rsidRPr="00EE1486">
        <w:rPr>
          <w:rFonts w:eastAsia="Times New Roman" w:cs="Times New Roman"/>
          <w:szCs w:val="24"/>
          <w:lang w:eastAsia="es-CO"/>
        </w:rPr>
        <w:t>producción, comercialización e importación, y está reglamentado en el Libro III del Estatuto Tributario.</w:t>
      </w:r>
    </w:p>
    <w:p w14:paraId="4AE02062" w14:textId="77777777" w:rsidR="00014672" w:rsidRPr="00EE1486" w:rsidRDefault="00014672"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lastRenderedPageBreak/>
        <w:t>Uno de los aspectos más relevantes asociado a la normatividad del IVA que debe ser comprendido por la gerencia es lo relacionado con el sujeto pasivo del IVA, el cual se clasifica en sujeto económico y sujeto de derecho. El sujeto de derecho asume las responsabilidades formales y sustanciales ante la administración, bajo pena de sanciones tributarias, mientras que el sujeto económico asume la obligación monetaria de pagar el tributo al sujeto de derecho, quien debe recaudarlo para cumplir su obligación sustancial. En estos términos, actúa como agente recaudador. Todo aquel que desarrolle alguna actividad definida en el Estatuto Tributario en su artículo 420 como hecho generador, actuará a su vez como sujeto pasivo de derecho.</w:t>
      </w:r>
    </w:p>
    <w:p w14:paraId="13472BB1" w14:textId="77777777" w:rsidR="00014672" w:rsidRPr="00EE1486" w:rsidRDefault="00014672"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A continuación, se muestra a través de una tabla los diferentes cambios normativos del IVA.</w:t>
      </w:r>
    </w:p>
    <w:tbl>
      <w:tblPr>
        <w:tblW w:w="0" w:type="auto"/>
        <w:tblCellMar>
          <w:left w:w="70" w:type="dxa"/>
          <w:right w:w="70" w:type="dxa"/>
        </w:tblCellMar>
        <w:tblLook w:val="04A0" w:firstRow="1" w:lastRow="0" w:firstColumn="1" w:lastColumn="0" w:noHBand="0" w:noVBand="1"/>
      </w:tblPr>
      <w:tblGrid>
        <w:gridCol w:w="1418"/>
        <w:gridCol w:w="1701"/>
        <w:gridCol w:w="5719"/>
      </w:tblGrid>
      <w:tr w:rsidR="00014672" w:rsidRPr="00EE1486" w14:paraId="09291D8A" w14:textId="77777777" w:rsidTr="00C82084">
        <w:trPr>
          <w:trHeight w:val="300"/>
        </w:trPr>
        <w:tc>
          <w:tcPr>
            <w:tcW w:w="1418" w:type="dxa"/>
            <w:tcBorders>
              <w:top w:val="single" w:sz="4" w:space="0" w:color="auto"/>
              <w:left w:val="nil"/>
              <w:bottom w:val="single" w:sz="4" w:space="0" w:color="auto"/>
              <w:right w:val="nil"/>
            </w:tcBorders>
            <w:shd w:val="clear" w:color="auto" w:fill="auto"/>
            <w:vAlign w:val="center"/>
            <w:hideMark/>
          </w:tcPr>
          <w:p w14:paraId="23F43054"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w:t>
            </w:r>
          </w:p>
        </w:tc>
        <w:tc>
          <w:tcPr>
            <w:tcW w:w="1701" w:type="dxa"/>
            <w:tcBorders>
              <w:top w:val="single" w:sz="4" w:space="0" w:color="auto"/>
              <w:left w:val="nil"/>
              <w:bottom w:val="single" w:sz="4" w:space="0" w:color="auto"/>
              <w:right w:val="nil"/>
            </w:tcBorders>
            <w:shd w:val="clear" w:color="auto" w:fill="auto"/>
            <w:vAlign w:val="center"/>
            <w:hideMark/>
          </w:tcPr>
          <w:p w14:paraId="69EED69D"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Gobierno</w:t>
            </w:r>
          </w:p>
        </w:tc>
        <w:tc>
          <w:tcPr>
            <w:tcW w:w="5719" w:type="dxa"/>
            <w:tcBorders>
              <w:top w:val="single" w:sz="4" w:space="0" w:color="auto"/>
              <w:left w:val="nil"/>
              <w:bottom w:val="single" w:sz="4" w:space="0" w:color="auto"/>
              <w:right w:val="nil"/>
            </w:tcBorders>
            <w:shd w:val="clear" w:color="auto" w:fill="auto"/>
            <w:vAlign w:val="center"/>
            <w:hideMark/>
          </w:tcPr>
          <w:p w14:paraId="0AAC258C"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Detalles del IVA</w:t>
            </w:r>
          </w:p>
        </w:tc>
      </w:tr>
      <w:tr w:rsidR="00014672" w:rsidRPr="00EE1486" w14:paraId="2D2E4D0E" w14:textId="77777777" w:rsidTr="00C82084">
        <w:trPr>
          <w:trHeight w:val="1800"/>
        </w:trPr>
        <w:tc>
          <w:tcPr>
            <w:tcW w:w="1418" w:type="dxa"/>
            <w:tcBorders>
              <w:top w:val="nil"/>
              <w:left w:val="nil"/>
              <w:bottom w:val="nil"/>
              <w:right w:val="nil"/>
            </w:tcBorders>
            <w:shd w:val="clear" w:color="auto" w:fill="auto"/>
            <w:vAlign w:val="center"/>
            <w:hideMark/>
          </w:tcPr>
          <w:p w14:paraId="095EFB06"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 3541 de 1983</w:t>
            </w:r>
          </w:p>
        </w:tc>
        <w:tc>
          <w:tcPr>
            <w:tcW w:w="1701" w:type="dxa"/>
            <w:tcBorders>
              <w:top w:val="nil"/>
              <w:left w:val="nil"/>
              <w:bottom w:val="nil"/>
              <w:right w:val="nil"/>
            </w:tcBorders>
            <w:shd w:val="clear" w:color="auto" w:fill="auto"/>
            <w:vAlign w:val="center"/>
            <w:hideMark/>
          </w:tcPr>
          <w:p w14:paraId="1BD0B806"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Belisario Betancur</w:t>
            </w:r>
          </w:p>
        </w:tc>
        <w:tc>
          <w:tcPr>
            <w:tcW w:w="5719" w:type="dxa"/>
            <w:tcBorders>
              <w:top w:val="nil"/>
              <w:left w:val="nil"/>
              <w:bottom w:val="nil"/>
              <w:right w:val="nil"/>
            </w:tcBorders>
            <w:shd w:val="clear" w:color="auto" w:fill="auto"/>
            <w:vAlign w:val="center"/>
            <w:hideMark/>
          </w:tcPr>
          <w:p w14:paraId="31113D87" w14:textId="2E19D27B"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Extensión del IVA al comercio minorista (Decreto Ley 3541)</w:t>
            </w:r>
            <w:r w:rsidR="00653CDE">
              <w:rPr>
                <w:rFonts w:eastAsia="Times New Roman" w:cs="Times New Roman"/>
                <w:color w:val="000000"/>
                <w:szCs w:val="24"/>
                <w:lang w:eastAsia="es-CO"/>
              </w:rPr>
              <w:t>.</w:t>
            </w:r>
          </w:p>
          <w:p w14:paraId="37B078F6" w14:textId="40FED424"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Tarifa del 10%</w:t>
            </w:r>
          </w:p>
          <w:p w14:paraId="679F3ACD" w14:textId="7FD8F368"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Diferenciales del 20% y el 35%</w:t>
            </w:r>
          </w:p>
          <w:p w14:paraId="56539436" w14:textId="7777777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Se determinan bienes excluidos y exentos, como los servicios</w:t>
            </w:r>
            <w:r w:rsidR="00A1705B" w:rsidRPr="00EE1486">
              <w:rPr>
                <w:rFonts w:eastAsia="Times New Roman" w:cs="Times New Roman"/>
                <w:color w:val="000000"/>
                <w:szCs w:val="24"/>
                <w:lang w:eastAsia="es-CO"/>
              </w:rPr>
              <w:t>.</w:t>
            </w:r>
          </w:p>
          <w:p w14:paraId="7ED5461B" w14:textId="21A1C6C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Mayor impacto en el gravamen de bienes</w:t>
            </w:r>
            <w:r w:rsidR="00A1705B" w:rsidRPr="00EE1486">
              <w:rPr>
                <w:rFonts w:eastAsia="Times New Roman" w:cs="Times New Roman"/>
                <w:color w:val="000000"/>
                <w:szCs w:val="24"/>
                <w:lang w:eastAsia="es-CO"/>
              </w:rPr>
              <w:t>.</w:t>
            </w:r>
          </w:p>
          <w:p w14:paraId="2958ED95" w14:textId="7777777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Extensión del impuesto al consumidor final</w:t>
            </w:r>
            <w:r w:rsidR="00A1705B" w:rsidRPr="00EE1486">
              <w:rPr>
                <w:rFonts w:eastAsia="Times New Roman" w:cs="Times New Roman"/>
                <w:color w:val="000000"/>
                <w:szCs w:val="24"/>
                <w:lang w:eastAsia="es-CO"/>
              </w:rPr>
              <w:t>.</w:t>
            </w:r>
          </w:p>
          <w:p w14:paraId="6FA4E4DB" w14:textId="2FAC8EDA"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Mejor administración</w:t>
            </w:r>
            <w:r w:rsidR="00653CDE">
              <w:rPr>
                <w:rFonts w:eastAsia="Times New Roman" w:cs="Times New Roman"/>
                <w:color w:val="000000"/>
                <w:szCs w:val="24"/>
                <w:lang w:eastAsia="es-CO"/>
              </w:rPr>
              <w:t>.</w:t>
            </w:r>
          </w:p>
          <w:p w14:paraId="77E6FE34"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Simplificación de las declaraciones del impuesto</w:t>
            </w:r>
            <w:r w:rsidR="00A1705B" w:rsidRPr="00EE1486">
              <w:rPr>
                <w:rFonts w:eastAsia="Times New Roman" w:cs="Times New Roman"/>
                <w:color w:val="000000"/>
                <w:szCs w:val="24"/>
                <w:lang w:eastAsia="es-CO"/>
              </w:rPr>
              <w:t>.</w:t>
            </w:r>
          </w:p>
          <w:p w14:paraId="3130836A" w14:textId="49C9F526" w:rsidR="00A1705B" w:rsidRPr="00EE1486" w:rsidRDefault="00A1705B" w:rsidP="003A095E">
            <w:pPr>
              <w:spacing w:before="240"/>
              <w:ind w:firstLine="0"/>
              <w:jc w:val="left"/>
              <w:rPr>
                <w:rFonts w:eastAsia="Times New Roman" w:cs="Times New Roman"/>
                <w:color w:val="000000"/>
                <w:szCs w:val="24"/>
                <w:lang w:eastAsia="es-CO"/>
              </w:rPr>
            </w:pPr>
          </w:p>
        </w:tc>
      </w:tr>
      <w:tr w:rsidR="00014672" w:rsidRPr="00EE1486" w14:paraId="69887E5C" w14:textId="77777777" w:rsidTr="00C82084">
        <w:trPr>
          <w:trHeight w:val="1500"/>
        </w:trPr>
        <w:tc>
          <w:tcPr>
            <w:tcW w:w="1418" w:type="dxa"/>
            <w:tcBorders>
              <w:top w:val="nil"/>
              <w:left w:val="nil"/>
              <w:bottom w:val="nil"/>
              <w:right w:val="nil"/>
            </w:tcBorders>
            <w:shd w:val="clear" w:color="auto" w:fill="auto"/>
            <w:vAlign w:val="center"/>
            <w:hideMark/>
          </w:tcPr>
          <w:p w14:paraId="644ED9DE"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lastRenderedPageBreak/>
              <w:t>Ley 49 de 1990</w:t>
            </w:r>
          </w:p>
        </w:tc>
        <w:tc>
          <w:tcPr>
            <w:tcW w:w="1701" w:type="dxa"/>
            <w:tcBorders>
              <w:top w:val="nil"/>
              <w:left w:val="nil"/>
              <w:bottom w:val="nil"/>
              <w:right w:val="nil"/>
            </w:tcBorders>
            <w:shd w:val="clear" w:color="auto" w:fill="auto"/>
            <w:vAlign w:val="center"/>
            <w:hideMark/>
          </w:tcPr>
          <w:p w14:paraId="4008F3F0"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César Gaviria</w:t>
            </w:r>
          </w:p>
        </w:tc>
        <w:tc>
          <w:tcPr>
            <w:tcW w:w="5719" w:type="dxa"/>
            <w:tcBorders>
              <w:top w:val="nil"/>
              <w:left w:val="nil"/>
              <w:bottom w:val="nil"/>
              <w:right w:val="nil"/>
            </w:tcBorders>
            <w:shd w:val="clear" w:color="auto" w:fill="auto"/>
            <w:vAlign w:val="center"/>
            <w:hideMark/>
          </w:tcPr>
          <w:p w14:paraId="78D60A12" w14:textId="7777777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Incremento del IVA del 10% al 12% </w:t>
            </w:r>
          </w:p>
          <w:p w14:paraId="498DA809" w14:textId="09F116B1"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Compensación de la caída de los ingresos tributarios</w:t>
            </w:r>
            <w:r w:rsidR="00653CDE">
              <w:rPr>
                <w:rFonts w:eastAsia="Times New Roman" w:cs="Times New Roman"/>
                <w:color w:val="000000"/>
                <w:szCs w:val="24"/>
                <w:lang w:eastAsia="es-CO"/>
              </w:rPr>
              <w:t>.</w:t>
            </w:r>
          </w:p>
          <w:p w14:paraId="318F8419" w14:textId="55E8AAAB"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Exclusión de algunos bienes como ciertas materias primas, llamadas, hoteles, entre otros</w:t>
            </w:r>
            <w:r w:rsidR="00653CDE">
              <w:rPr>
                <w:rFonts w:eastAsia="Times New Roman" w:cs="Times New Roman"/>
                <w:color w:val="000000"/>
                <w:szCs w:val="24"/>
                <w:lang w:eastAsia="es-CO"/>
              </w:rPr>
              <w:t>.</w:t>
            </w:r>
          </w:p>
          <w:p w14:paraId="06193741" w14:textId="7777777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Establecimiento de un inspector para verificar el cobro y la facturación del IVA </w:t>
            </w:r>
          </w:p>
          <w:p w14:paraId="3283134F" w14:textId="01DB6E49"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Eliminación de exenciones</w:t>
            </w:r>
            <w:r w:rsidR="00653CDE">
              <w:rPr>
                <w:rFonts w:eastAsia="Times New Roman" w:cs="Times New Roman"/>
                <w:color w:val="000000"/>
                <w:szCs w:val="24"/>
                <w:lang w:eastAsia="es-CO"/>
              </w:rPr>
              <w:t>.</w:t>
            </w:r>
          </w:p>
        </w:tc>
      </w:tr>
      <w:tr w:rsidR="00014672" w:rsidRPr="00EE1486" w14:paraId="30F5E061" w14:textId="77777777" w:rsidTr="00A1705B">
        <w:trPr>
          <w:trHeight w:val="2547"/>
        </w:trPr>
        <w:tc>
          <w:tcPr>
            <w:tcW w:w="1418" w:type="dxa"/>
            <w:tcBorders>
              <w:top w:val="nil"/>
              <w:left w:val="nil"/>
              <w:bottom w:val="nil"/>
              <w:right w:val="nil"/>
            </w:tcBorders>
            <w:shd w:val="clear" w:color="auto" w:fill="auto"/>
            <w:vAlign w:val="center"/>
            <w:hideMark/>
          </w:tcPr>
          <w:p w14:paraId="34648642"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 6 de 1992</w:t>
            </w:r>
          </w:p>
        </w:tc>
        <w:tc>
          <w:tcPr>
            <w:tcW w:w="1701" w:type="dxa"/>
            <w:tcBorders>
              <w:top w:val="nil"/>
              <w:left w:val="nil"/>
              <w:bottom w:val="nil"/>
              <w:right w:val="nil"/>
            </w:tcBorders>
            <w:shd w:val="clear" w:color="auto" w:fill="auto"/>
            <w:vAlign w:val="center"/>
            <w:hideMark/>
          </w:tcPr>
          <w:p w14:paraId="0F7F6EF7"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César Gaviria</w:t>
            </w:r>
          </w:p>
        </w:tc>
        <w:tc>
          <w:tcPr>
            <w:tcW w:w="5719" w:type="dxa"/>
            <w:tcBorders>
              <w:top w:val="nil"/>
              <w:left w:val="nil"/>
              <w:bottom w:val="nil"/>
              <w:right w:val="nil"/>
            </w:tcBorders>
            <w:shd w:val="clear" w:color="auto" w:fill="auto"/>
            <w:vAlign w:val="center"/>
            <w:hideMark/>
          </w:tcPr>
          <w:p w14:paraId="164A968A" w14:textId="7D3B4024"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Incremento del IVA del 12% al 14% por 5 años</w:t>
            </w:r>
            <w:r w:rsidR="00653CDE">
              <w:rPr>
                <w:rFonts w:eastAsia="Times New Roman" w:cs="Times New Roman"/>
                <w:color w:val="000000"/>
                <w:szCs w:val="24"/>
                <w:lang w:eastAsia="es-CO"/>
              </w:rPr>
              <w:t>.</w:t>
            </w:r>
          </w:p>
          <w:p w14:paraId="1484BC87" w14:textId="7B16E918"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Tres puntos del aumento se destinan a la Nación</w:t>
            </w:r>
            <w:r w:rsidR="00653CDE">
              <w:rPr>
                <w:rFonts w:eastAsia="Times New Roman" w:cs="Times New Roman"/>
                <w:color w:val="000000"/>
                <w:szCs w:val="24"/>
                <w:lang w:eastAsia="es-CO"/>
              </w:rPr>
              <w:t>.</w:t>
            </w:r>
          </w:p>
          <w:p w14:paraId="69E54FCE" w14:textId="4A6AD3B2"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Aumentos en el recaudo destinados a las pensiones del sector público</w:t>
            </w:r>
            <w:r w:rsidR="00653CDE">
              <w:rPr>
                <w:rFonts w:eastAsia="Times New Roman" w:cs="Times New Roman"/>
                <w:color w:val="000000"/>
                <w:szCs w:val="24"/>
                <w:lang w:eastAsia="es-CO"/>
              </w:rPr>
              <w:t>.</w:t>
            </w:r>
          </w:p>
          <w:p w14:paraId="67AA8359" w14:textId="0D09B66E"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Destinación de quince mil millones anuales a las madres comunitarias del ICBF</w:t>
            </w:r>
            <w:r w:rsidR="00653CDE">
              <w:rPr>
                <w:rFonts w:eastAsia="Times New Roman" w:cs="Times New Roman"/>
                <w:color w:val="000000"/>
                <w:szCs w:val="24"/>
                <w:lang w:eastAsia="es-CO"/>
              </w:rPr>
              <w:t>.</w:t>
            </w:r>
          </w:p>
          <w:p w14:paraId="10CB3666" w14:textId="7777777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Tarifas para bienes suntuarios del 35% al 45% </w:t>
            </w:r>
          </w:p>
          <w:p w14:paraId="26D0BD2B" w14:textId="48A84D96"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Descuento del IVA por compra de bienes de capital del impuesto de renta</w:t>
            </w:r>
            <w:r w:rsidR="00653CDE">
              <w:rPr>
                <w:rFonts w:eastAsia="Times New Roman" w:cs="Times New Roman"/>
                <w:color w:val="000000"/>
                <w:szCs w:val="24"/>
                <w:lang w:eastAsia="es-CO"/>
              </w:rPr>
              <w:t>.</w:t>
            </w:r>
          </w:p>
        </w:tc>
      </w:tr>
      <w:tr w:rsidR="00014672" w:rsidRPr="00EE1486" w14:paraId="77DAE624" w14:textId="77777777" w:rsidTr="00C82084">
        <w:trPr>
          <w:trHeight w:val="1200"/>
        </w:trPr>
        <w:tc>
          <w:tcPr>
            <w:tcW w:w="1418" w:type="dxa"/>
            <w:tcBorders>
              <w:top w:val="nil"/>
              <w:left w:val="nil"/>
              <w:bottom w:val="nil"/>
              <w:right w:val="nil"/>
            </w:tcBorders>
            <w:shd w:val="clear" w:color="auto" w:fill="auto"/>
            <w:vAlign w:val="center"/>
            <w:hideMark/>
          </w:tcPr>
          <w:p w14:paraId="3761D02D" w14:textId="77777777" w:rsidR="00A1705B" w:rsidRPr="00EE1486" w:rsidRDefault="00A1705B" w:rsidP="003A095E">
            <w:pPr>
              <w:spacing w:before="240"/>
              <w:ind w:firstLine="0"/>
              <w:jc w:val="left"/>
              <w:rPr>
                <w:rFonts w:eastAsia="Times New Roman" w:cs="Times New Roman"/>
                <w:b/>
                <w:bCs/>
                <w:color w:val="000000"/>
                <w:szCs w:val="24"/>
                <w:lang w:eastAsia="es-CO"/>
              </w:rPr>
            </w:pPr>
          </w:p>
          <w:p w14:paraId="63ADC732" w14:textId="3AA3C24D"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 223 de 1995</w:t>
            </w:r>
          </w:p>
        </w:tc>
        <w:tc>
          <w:tcPr>
            <w:tcW w:w="1701" w:type="dxa"/>
            <w:tcBorders>
              <w:top w:val="nil"/>
              <w:left w:val="nil"/>
              <w:bottom w:val="nil"/>
              <w:right w:val="nil"/>
            </w:tcBorders>
            <w:shd w:val="clear" w:color="auto" w:fill="auto"/>
            <w:vAlign w:val="center"/>
            <w:hideMark/>
          </w:tcPr>
          <w:p w14:paraId="035C5E0B" w14:textId="77777777" w:rsidR="00EE1486" w:rsidRDefault="00EE1486" w:rsidP="003A095E">
            <w:pPr>
              <w:spacing w:before="240"/>
              <w:ind w:firstLine="0"/>
              <w:jc w:val="left"/>
              <w:rPr>
                <w:rFonts w:eastAsia="Times New Roman" w:cs="Times New Roman"/>
                <w:color w:val="000000"/>
                <w:szCs w:val="24"/>
                <w:lang w:eastAsia="es-CO"/>
              </w:rPr>
            </w:pPr>
          </w:p>
          <w:p w14:paraId="1CBFC0D4" w14:textId="186204BC"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Ernesto Samper</w:t>
            </w:r>
          </w:p>
        </w:tc>
        <w:tc>
          <w:tcPr>
            <w:tcW w:w="5719" w:type="dxa"/>
            <w:tcBorders>
              <w:top w:val="nil"/>
              <w:left w:val="nil"/>
              <w:bottom w:val="nil"/>
              <w:right w:val="nil"/>
            </w:tcBorders>
            <w:shd w:val="clear" w:color="auto" w:fill="auto"/>
            <w:vAlign w:val="center"/>
            <w:hideMark/>
          </w:tcPr>
          <w:p w14:paraId="58DC953F" w14:textId="7641DD97"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Incremento del IVA del 14% al 16%</w:t>
            </w:r>
            <w:r w:rsidR="00653CDE">
              <w:rPr>
                <w:rFonts w:eastAsia="Times New Roman" w:cs="Times New Roman"/>
                <w:color w:val="000000"/>
                <w:szCs w:val="24"/>
                <w:lang w:eastAsia="es-CO"/>
              </w:rPr>
              <w:t>.</w:t>
            </w:r>
          </w:p>
          <w:p w14:paraId="2D12AEA6" w14:textId="0CDAA2C9" w:rsidR="00A1705B"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Redefinición de bienes e importaciones que no causan el impuesto</w:t>
            </w:r>
            <w:r w:rsidR="00A1705B" w:rsidRPr="00EE1486">
              <w:rPr>
                <w:rFonts w:eastAsia="Times New Roman" w:cs="Times New Roman"/>
                <w:color w:val="000000"/>
                <w:szCs w:val="24"/>
                <w:lang w:eastAsia="es-CO"/>
              </w:rPr>
              <w:t>.</w:t>
            </w:r>
          </w:p>
          <w:p w14:paraId="20767A40"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Introducción de Retención en la Fuente del IVA (50%) </w:t>
            </w:r>
          </w:p>
          <w:p w14:paraId="5BDF89B0" w14:textId="57DEDF44"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Inclusión de materiales de construcción</w:t>
            </w:r>
            <w:r w:rsidR="00653CDE">
              <w:rPr>
                <w:rFonts w:eastAsia="Times New Roman" w:cs="Times New Roman"/>
                <w:color w:val="000000"/>
                <w:szCs w:val="24"/>
                <w:lang w:eastAsia="es-CO"/>
              </w:rPr>
              <w:t>.</w:t>
            </w:r>
            <w:r w:rsidRPr="00EE1486">
              <w:rPr>
                <w:rFonts w:eastAsia="Times New Roman" w:cs="Times New Roman"/>
                <w:color w:val="000000"/>
                <w:szCs w:val="24"/>
                <w:lang w:eastAsia="es-CO"/>
              </w:rPr>
              <w:t xml:space="preserve"> </w:t>
            </w:r>
          </w:p>
          <w:p w14:paraId="03553B91" w14:textId="1C2825D2"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lastRenderedPageBreak/>
              <w:t xml:space="preserve"> - Incremento a las importaciones, vehículos y motos</w:t>
            </w:r>
            <w:r w:rsidR="00653CDE">
              <w:rPr>
                <w:rFonts w:eastAsia="Times New Roman" w:cs="Times New Roman"/>
                <w:color w:val="000000"/>
                <w:szCs w:val="24"/>
                <w:lang w:eastAsia="es-CO"/>
              </w:rPr>
              <w:t>.</w:t>
            </w:r>
          </w:p>
        </w:tc>
      </w:tr>
      <w:tr w:rsidR="00014672" w:rsidRPr="00EE1486" w14:paraId="3179E725" w14:textId="77777777" w:rsidTr="00C82084">
        <w:trPr>
          <w:trHeight w:val="900"/>
        </w:trPr>
        <w:tc>
          <w:tcPr>
            <w:tcW w:w="1418" w:type="dxa"/>
            <w:tcBorders>
              <w:top w:val="nil"/>
              <w:left w:val="nil"/>
              <w:bottom w:val="nil"/>
              <w:right w:val="nil"/>
            </w:tcBorders>
            <w:shd w:val="clear" w:color="auto" w:fill="auto"/>
            <w:vAlign w:val="center"/>
            <w:hideMark/>
          </w:tcPr>
          <w:p w14:paraId="23BBE353"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lastRenderedPageBreak/>
              <w:t>Ley 488 de 1998</w:t>
            </w:r>
          </w:p>
        </w:tc>
        <w:tc>
          <w:tcPr>
            <w:tcW w:w="1701" w:type="dxa"/>
            <w:tcBorders>
              <w:top w:val="nil"/>
              <w:left w:val="nil"/>
              <w:bottom w:val="nil"/>
              <w:right w:val="nil"/>
            </w:tcBorders>
            <w:shd w:val="clear" w:color="auto" w:fill="auto"/>
            <w:vAlign w:val="center"/>
            <w:hideMark/>
          </w:tcPr>
          <w:p w14:paraId="7A0CB573"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Andrés Pastrana</w:t>
            </w:r>
          </w:p>
        </w:tc>
        <w:tc>
          <w:tcPr>
            <w:tcW w:w="5719" w:type="dxa"/>
            <w:tcBorders>
              <w:top w:val="nil"/>
              <w:left w:val="nil"/>
              <w:bottom w:val="nil"/>
              <w:right w:val="nil"/>
            </w:tcBorders>
            <w:shd w:val="clear" w:color="auto" w:fill="auto"/>
            <w:vAlign w:val="center"/>
            <w:hideMark/>
          </w:tcPr>
          <w:p w14:paraId="685CEAE8"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Reducción del IVA del 16% al 15% </w:t>
            </w:r>
          </w:p>
          <w:p w14:paraId="5D9691AD"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Ampliación de la base </w:t>
            </w:r>
          </w:p>
          <w:p w14:paraId="5499F5DC" w14:textId="42CA150E"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Reducción de 407 a 135 las subpartidas arancelarias excluidas del IVA, para igualar al productor nacional con el importador</w:t>
            </w:r>
          </w:p>
        </w:tc>
      </w:tr>
      <w:tr w:rsidR="00014672" w:rsidRPr="00EE1486" w14:paraId="155AA944" w14:textId="77777777" w:rsidTr="00C82084">
        <w:trPr>
          <w:trHeight w:val="1500"/>
        </w:trPr>
        <w:tc>
          <w:tcPr>
            <w:tcW w:w="1418" w:type="dxa"/>
            <w:tcBorders>
              <w:top w:val="nil"/>
              <w:left w:val="nil"/>
              <w:bottom w:val="nil"/>
              <w:right w:val="nil"/>
            </w:tcBorders>
            <w:shd w:val="clear" w:color="auto" w:fill="auto"/>
            <w:vAlign w:val="center"/>
            <w:hideMark/>
          </w:tcPr>
          <w:p w14:paraId="2CA53156"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 633 de 2000</w:t>
            </w:r>
          </w:p>
        </w:tc>
        <w:tc>
          <w:tcPr>
            <w:tcW w:w="1701" w:type="dxa"/>
            <w:tcBorders>
              <w:top w:val="nil"/>
              <w:left w:val="nil"/>
              <w:bottom w:val="nil"/>
              <w:right w:val="nil"/>
            </w:tcBorders>
            <w:shd w:val="clear" w:color="auto" w:fill="auto"/>
            <w:vAlign w:val="center"/>
            <w:hideMark/>
          </w:tcPr>
          <w:p w14:paraId="5862813D"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Andrés Pastrana</w:t>
            </w:r>
          </w:p>
        </w:tc>
        <w:tc>
          <w:tcPr>
            <w:tcW w:w="5719" w:type="dxa"/>
            <w:tcBorders>
              <w:top w:val="nil"/>
              <w:left w:val="nil"/>
              <w:bottom w:val="nil"/>
              <w:right w:val="nil"/>
            </w:tcBorders>
            <w:shd w:val="clear" w:color="auto" w:fill="auto"/>
            <w:vAlign w:val="center"/>
            <w:hideMark/>
          </w:tcPr>
          <w:p w14:paraId="74BC95B3"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Incremento del IVA del 15% al 16% </w:t>
            </w:r>
          </w:p>
          <w:p w14:paraId="5B5E7453"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Aplicación de la tarifa a servicios con algunas excepciones </w:t>
            </w:r>
          </w:p>
          <w:p w14:paraId="237C3934" w14:textId="0B1D508F"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Las entidades emisoras de tarjetas débito y crédito, son retenedoras del IVA para compras con dinero plástico</w:t>
            </w:r>
            <w:r w:rsidR="002F583B">
              <w:rPr>
                <w:rFonts w:eastAsia="Times New Roman" w:cs="Times New Roman"/>
                <w:color w:val="000000"/>
                <w:szCs w:val="24"/>
                <w:lang w:eastAsia="es-CO"/>
              </w:rPr>
              <w:t>.</w:t>
            </w:r>
            <w:r w:rsidRPr="00EE1486">
              <w:rPr>
                <w:rFonts w:eastAsia="Times New Roman" w:cs="Times New Roman"/>
                <w:color w:val="000000"/>
                <w:szCs w:val="24"/>
                <w:lang w:eastAsia="es-CO"/>
              </w:rPr>
              <w:t xml:space="preserve"> </w:t>
            </w:r>
          </w:p>
          <w:p w14:paraId="3C470448"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Aplicación del IVA a cigarrillos y tabaco </w:t>
            </w:r>
          </w:p>
          <w:p w14:paraId="1944A5ED"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xml:space="preserve"> - Cobertura de la televisión satelital </w:t>
            </w:r>
          </w:p>
          <w:p w14:paraId="5604E88F" w14:textId="471C06FB"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Fuertes sanciones por no consignar el IVA</w:t>
            </w:r>
          </w:p>
        </w:tc>
      </w:tr>
      <w:tr w:rsidR="00014672" w:rsidRPr="00EE1486" w14:paraId="1AFC0213" w14:textId="77777777" w:rsidTr="00C82084">
        <w:trPr>
          <w:trHeight w:val="600"/>
        </w:trPr>
        <w:tc>
          <w:tcPr>
            <w:tcW w:w="1418" w:type="dxa"/>
            <w:tcBorders>
              <w:top w:val="nil"/>
              <w:left w:val="nil"/>
              <w:bottom w:val="nil"/>
              <w:right w:val="nil"/>
            </w:tcBorders>
            <w:shd w:val="clear" w:color="auto" w:fill="auto"/>
            <w:vAlign w:val="center"/>
            <w:hideMark/>
          </w:tcPr>
          <w:p w14:paraId="521C5E15"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 716 de 2001</w:t>
            </w:r>
          </w:p>
        </w:tc>
        <w:tc>
          <w:tcPr>
            <w:tcW w:w="1701" w:type="dxa"/>
            <w:tcBorders>
              <w:top w:val="nil"/>
              <w:left w:val="nil"/>
              <w:bottom w:val="nil"/>
              <w:right w:val="nil"/>
            </w:tcBorders>
            <w:shd w:val="clear" w:color="auto" w:fill="auto"/>
            <w:vAlign w:val="center"/>
            <w:hideMark/>
          </w:tcPr>
          <w:p w14:paraId="2552374E"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Andrés Pastrana</w:t>
            </w:r>
          </w:p>
        </w:tc>
        <w:tc>
          <w:tcPr>
            <w:tcW w:w="5719" w:type="dxa"/>
            <w:tcBorders>
              <w:top w:val="nil"/>
              <w:left w:val="nil"/>
              <w:bottom w:val="nil"/>
              <w:right w:val="nil"/>
            </w:tcBorders>
            <w:shd w:val="clear" w:color="auto" w:fill="auto"/>
            <w:vAlign w:val="center"/>
            <w:hideMark/>
          </w:tcPr>
          <w:p w14:paraId="5E205F7C"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Inscripción del régimen simplificado para las personas naturales minoristas con ventas gravadas</w:t>
            </w:r>
          </w:p>
        </w:tc>
      </w:tr>
      <w:tr w:rsidR="00014672" w:rsidRPr="00EE1486" w14:paraId="13ECD5BA" w14:textId="77777777" w:rsidTr="00C82084">
        <w:trPr>
          <w:trHeight w:val="1500"/>
        </w:trPr>
        <w:tc>
          <w:tcPr>
            <w:tcW w:w="1418" w:type="dxa"/>
            <w:tcBorders>
              <w:top w:val="nil"/>
              <w:left w:val="nil"/>
              <w:bottom w:val="nil"/>
              <w:right w:val="nil"/>
            </w:tcBorders>
            <w:shd w:val="clear" w:color="auto" w:fill="auto"/>
            <w:vAlign w:val="center"/>
            <w:hideMark/>
          </w:tcPr>
          <w:p w14:paraId="1CEADDBC" w14:textId="77777777" w:rsidR="00653CDE" w:rsidRDefault="00653CDE" w:rsidP="003A095E">
            <w:pPr>
              <w:spacing w:before="240"/>
              <w:ind w:firstLine="0"/>
              <w:jc w:val="left"/>
              <w:rPr>
                <w:rFonts w:eastAsia="Times New Roman" w:cs="Times New Roman"/>
                <w:b/>
                <w:bCs/>
                <w:color w:val="000000"/>
                <w:szCs w:val="24"/>
                <w:lang w:eastAsia="es-CO"/>
              </w:rPr>
            </w:pPr>
          </w:p>
          <w:p w14:paraId="0A377CDE" w14:textId="77777777" w:rsidR="00653CDE" w:rsidRDefault="00653CDE" w:rsidP="003A095E">
            <w:pPr>
              <w:spacing w:before="240"/>
              <w:ind w:firstLine="0"/>
              <w:jc w:val="left"/>
              <w:rPr>
                <w:rFonts w:eastAsia="Times New Roman" w:cs="Times New Roman"/>
                <w:b/>
                <w:bCs/>
                <w:color w:val="000000"/>
                <w:szCs w:val="24"/>
                <w:lang w:eastAsia="es-CO"/>
              </w:rPr>
            </w:pPr>
          </w:p>
          <w:p w14:paraId="50E84734" w14:textId="7949405F"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lastRenderedPageBreak/>
              <w:t>Ley 788 de 2002</w:t>
            </w:r>
          </w:p>
        </w:tc>
        <w:tc>
          <w:tcPr>
            <w:tcW w:w="1701" w:type="dxa"/>
            <w:tcBorders>
              <w:top w:val="nil"/>
              <w:left w:val="nil"/>
              <w:bottom w:val="nil"/>
              <w:right w:val="nil"/>
            </w:tcBorders>
            <w:shd w:val="clear" w:color="auto" w:fill="auto"/>
            <w:vAlign w:val="center"/>
            <w:hideMark/>
          </w:tcPr>
          <w:p w14:paraId="4E914735" w14:textId="77777777" w:rsidR="00653CDE" w:rsidRDefault="00653CDE" w:rsidP="003A095E">
            <w:pPr>
              <w:spacing w:before="240"/>
              <w:ind w:firstLine="0"/>
              <w:jc w:val="left"/>
              <w:rPr>
                <w:rFonts w:eastAsia="Times New Roman" w:cs="Times New Roman"/>
                <w:color w:val="000000"/>
                <w:szCs w:val="24"/>
                <w:lang w:eastAsia="es-CO"/>
              </w:rPr>
            </w:pPr>
          </w:p>
          <w:p w14:paraId="75BCC00A" w14:textId="77777777" w:rsidR="00653CDE" w:rsidRDefault="00653CDE" w:rsidP="003A095E">
            <w:pPr>
              <w:spacing w:before="240"/>
              <w:ind w:firstLine="0"/>
              <w:jc w:val="left"/>
              <w:rPr>
                <w:rFonts w:eastAsia="Times New Roman" w:cs="Times New Roman"/>
                <w:color w:val="000000"/>
                <w:szCs w:val="24"/>
                <w:lang w:eastAsia="es-CO"/>
              </w:rPr>
            </w:pPr>
          </w:p>
          <w:p w14:paraId="1209F741" w14:textId="77777777" w:rsidR="002F583B" w:rsidRDefault="002F583B" w:rsidP="003A095E">
            <w:pPr>
              <w:spacing w:before="240"/>
              <w:ind w:firstLine="0"/>
              <w:jc w:val="left"/>
              <w:rPr>
                <w:rFonts w:eastAsia="Times New Roman" w:cs="Times New Roman"/>
                <w:color w:val="000000"/>
                <w:szCs w:val="24"/>
                <w:lang w:eastAsia="es-CO"/>
              </w:rPr>
            </w:pPr>
          </w:p>
          <w:p w14:paraId="7A00677C" w14:textId="2FF2D609"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lastRenderedPageBreak/>
              <w:t>Álvaro Uribe</w:t>
            </w:r>
          </w:p>
        </w:tc>
        <w:tc>
          <w:tcPr>
            <w:tcW w:w="5719" w:type="dxa"/>
            <w:tcBorders>
              <w:top w:val="nil"/>
              <w:left w:val="nil"/>
              <w:bottom w:val="nil"/>
              <w:right w:val="nil"/>
            </w:tcBorders>
            <w:shd w:val="clear" w:color="auto" w:fill="auto"/>
            <w:vAlign w:val="center"/>
            <w:hideMark/>
          </w:tcPr>
          <w:p w14:paraId="35FF57E4" w14:textId="4B3FB544"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lastRenderedPageBreak/>
              <w:t xml:space="preserve">- Regulación del régimen simplificado del IVA para comerciantes minoristas </w:t>
            </w:r>
          </w:p>
          <w:p w14:paraId="6619D295" w14:textId="77777777" w:rsidR="00653CDE" w:rsidRDefault="00653CDE" w:rsidP="003A095E">
            <w:pPr>
              <w:spacing w:before="240"/>
              <w:ind w:firstLine="0"/>
              <w:jc w:val="left"/>
              <w:rPr>
                <w:rFonts w:eastAsia="Times New Roman" w:cs="Times New Roman"/>
                <w:color w:val="000000"/>
                <w:szCs w:val="24"/>
                <w:lang w:eastAsia="es-CO"/>
              </w:rPr>
            </w:pPr>
          </w:p>
          <w:p w14:paraId="7C8EF8D4" w14:textId="042A2764"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lastRenderedPageBreak/>
              <w:t xml:space="preserve"> - Inscripción al régimen simplificado de personas naturales, minoristas o detallistas, que tengan ventas gravadas inferiores a 400 SMLMV y un establecimiento</w:t>
            </w:r>
            <w:r w:rsidR="00EE1486">
              <w:rPr>
                <w:rFonts w:eastAsia="Times New Roman" w:cs="Times New Roman"/>
                <w:color w:val="000000"/>
                <w:szCs w:val="24"/>
                <w:lang w:eastAsia="es-CO"/>
              </w:rPr>
              <w:t>.</w:t>
            </w:r>
            <w:r w:rsidRPr="00EE1486">
              <w:rPr>
                <w:rFonts w:eastAsia="Times New Roman" w:cs="Times New Roman"/>
                <w:color w:val="000000"/>
                <w:szCs w:val="24"/>
                <w:lang w:eastAsia="es-CO"/>
              </w:rPr>
              <w:t xml:space="preserve"> - Nuevas tarifas del 2% al 7% para determinados bienes y servicios</w:t>
            </w:r>
          </w:p>
        </w:tc>
      </w:tr>
      <w:tr w:rsidR="00014672" w:rsidRPr="00EE1486" w14:paraId="2134608A" w14:textId="77777777" w:rsidTr="00C82084">
        <w:trPr>
          <w:trHeight w:val="600"/>
        </w:trPr>
        <w:tc>
          <w:tcPr>
            <w:tcW w:w="1418" w:type="dxa"/>
            <w:tcBorders>
              <w:top w:val="nil"/>
              <w:left w:val="nil"/>
              <w:bottom w:val="nil"/>
              <w:right w:val="nil"/>
            </w:tcBorders>
            <w:shd w:val="clear" w:color="auto" w:fill="auto"/>
            <w:vAlign w:val="center"/>
            <w:hideMark/>
          </w:tcPr>
          <w:p w14:paraId="7FD00C05" w14:textId="77777777"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lastRenderedPageBreak/>
              <w:t>Ley 863 de 2003</w:t>
            </w:r>
          </w:p>
        </w:tc>
        <w:tc>
          <w:tcPr>
            <w:tcW w:w="1701" w:type="dxa"/>
            <w:tcBorders>
              <w:top w:val="nil"/>
              <w:left w:val="nil"/>
              <w:bottom w:val="nil"/>
              <w:right w:val="nil"/>
            </w:tcBorders>
            <w:shd w:val="clear" w:color="auto" w:fill="auto"/>
            <w:vAlign w:val="center"/>
            <w:hideMark/>
          </w:tcPr>
          <w:p w14:paraId="6B6A18A5" w14:textId="77777777"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Álvaro Uribe</w:t>
            </w:r>
          </w:p>
        </w:tc>
        <w:tc>
          <w:tcPr>
            <w:tcW w:w="5719" w:type="dxa"/>
            <w:tcBorders>
              <w:top w:val="nil"/>
              <w:left w:val="nil"/>
              <w:bottom w:val="nil"/>
              <w:right w:val="nil"/>
            </w:tcBorders>
            <w:shd w:val="clear" w:color="auto" w:fill="auto"/>
            <w:vAlign w:val="center"/>
            <w:hideMark/>
          </w:tcPr>
          <w:p w14:paraId="60406375" w14:textId="34D55624"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Mantienen las tarifas establecidas del IVA en la Ley 788 de 2002</w:t>
            </w:r>
            <w:r w:rsidR="00EE1486">
              <w:rPr>
                <w:rFonts w:eastAsia="Times New Roman" w:cs="Times New Roman"/>
                <w:color w:val="000000"/>
                <w:szCs w:val="24"/>
                <w:lang w:eastAsia="es-CO"/>
              </w:rPr>
              <w:t>.</w:t>
            </w:r>
          </w:p>
        </w:tc>
      </w:tr>
      <w:tr w:rsidR="00014672" w:rsidRPr="00EE1486" w14:paraId="5F574AD6" w14:textId="77777777" w:rsidTr="00C82084">
        <w:trPr>
          <w:trHeight w:val="900"/>
        </w:trPr>
        <w:tc>
          <w:tcPr>
            <w:tcW w:w="1418" w:type="dxa"/>
            <w:tcBorders>
              <w:top w:val="nil"/>
              <w:left w:val="nil"/>
              <w:bottom w:val="nil"/>
              <w:right w:val="nil"/>
            </w:tcBorders>
            <w:shd w:val="clear" w:color="auto" w:fill="auto"/>
            <w:vAlign w:val="center"/>
            <w:hideMark/>
          </w:tcPr>
          <w:p w14:paraId="1E35A969" w14:textId="77777777" w:rsidR="00653CDE" w:rsidRDefault="00653CDE" w:rsidP="003A095E">
            <w:pPr>
              <w:spacing w:before="240"/>
              <w:ind w:firstLine="0"/>
              <w:jc w:val="left"/>
              <w:rPr>
                <w:rFonts w:eastAsia="Times New Roman" w:cs="Times New Roman"/>
                <w:b/>
                <w:bCs/>
                <w:color w:val="000000"/>
                <w:szCs w:val="24"/>
                <w:lang w:eastAsia="es-CO"/>
              </w:rPr>
            </w:pPr>
          </w:p>
          <w:p w14:paraId="71684A39" w14:textId="65202B9A" w:rsidR="00014672" w:rsidRPr="00EE1486" w:rsidRDefault="00014672" w:rsidP="003A095E">
            <w:pPr>
              <w:spacing w:before="240"/>
              <w:ind w:firstLine="0"/>
              <w:jc w:val="left"/>
              <w:rPr>
                <w:rFonts w:eastAsia="Times New Roman" w:cs="Times New Roman"/>
                <w:b/>
                <w:bCs/>
                <w:color w:val="000000"/>
                <w:szCs w:val="24"/>
                <w:lang w:eastAsia="es-CO"/>
              </w:rPr>
            </w:pPr>
            <w:r w:rsidRPr="00EE1486">
              <w:rPr>
                <w:rFonts w:eastAsia="Times New Roman" w:cs="Times New Roman"/>
                <w:b/>
                <w:bCs/>
                <w:color w:val="000000"/>
                <w:szCs w:val="24"/>
                <w:lang w:eastAsia="es-CO"/>
              </w:rPr>
              <w:t>Ley 1819 de 2016</w:t>
            </w:r>
          </w:p>
        </w:tc>
        <w:tc>
          <w:tcPr>
            <w:tcW w:w="1701" w:type="dxa"/>
            <w:tcBorders>
              <w:top w:val="nil"/>
              <w:left w:val="nil"/>
              <w:bottom w:val="nil"/>
              <w:right w:val="nil"/>
            </w:tcBorders>
            <w:shd w:val="clear" w:color="auto" w:fill="auto"/>
            <w:vAlign w:val="center"/>
            <w:hideMark/>
          </w:tcPr>
          <w:p w14:paraId="1AD97DED" w14:textId="77777777" w:rsidR="00653CDE" w:rsidRDefault="00653CDE" w:rsidP="003A095E">
            <w:pPr>
              <w:spacing w:before="240"/>
              <w:ind w:firstLine="0"/>
              <w:jc w:val="left"/>
              <w:rPr>
                <w:rFonts w:eastAsia="Times New Roman" w:cs="Times New Roman"/>
                <w:color w:val="000000"/>
                <w:szCs w:val="24"/>
                <w:lang w:eastAsia="es-CO"/>
              </w:rPr>
            </w:pPr>
          </w:p>
          <w:p w14:paraId="48F46079" w14:textId="0BB0DB4B"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Juan Manuel Santos</w:t>
            </w:r>
          </w:p>
        </w:tc>
        <w:tc>
          <w:tcPr>
            <w:tcW w:w="5719" w:type="dxa"/>
            <w:tcBorders>
              <w:top w:val="nil"/>
              <w:left w:val="nil"/>
              <w:bottom w:val="nil"/>
              <w:right w:val="nil"/>
            </w:tcBorders>
            <w:shd w:val="clear" w:color="auto" w:fill="auto"/>
            <w:vAlign w:val="center"/>
            <w:hideMark/>
          </w:tcPr>
          <w:p w14:paraId="4DD2F2A3"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Incremento del IVA del 16% al 19%</w:t>
            </w:r>
            <w:r w:rsidR="00EE1486">
              <w:rPr>
                <w:rFonts w:eastAsia="Times New Roman" w:cs="Times New Roman"/>
                <w:color w:val="000000"/>
                <w:szCs w:val="24"/>
                <w:lang w:eastAsia="es-CO"/>
              </w:rPr>
              <w:t>.</w:t>
            </w:r>
          </w:p>
          <w:p w14:paraId="35274A79" w14:textId="77777777"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Eliminación de la retención del IVA al Régimen Simplificado</w:t>
            </w:r>
            <w:r w:rsidR="00EE1486">
              <w:rPr>
                <w:rFonts w:eastAsia="Times New Roman" w:cs="Times New Roman"/>
                <w:color w:val="000000"/>
                <w:szCs w:val="24"/>
                <w:lang w:eastAsia="es-CO"/>
              </w:rPr>
              <w:t>.</w:t>
            </w:r>
          </w:p>
          <w:p w14:paraId="14C74A91" w14:textId="3C846AD4" w:rsid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Ampliación de la oportunidad de los descuentos del IVA</w:t>
            </w:r>
            <w:r w:rsidR="00EE1486">
              <w:rPr>
                <w:rFonts w:eastAsia="Times New Roman" w:cs="Times New Roman"/>
                <w:color w:val="000000"/>
                <w:szCs w:val="24"/>
                <w:lang w:eastAsia="es-CO"/>
              </w:rPr>
              <w:t>.</w:t>
            </w:r>
          </w:p>
          <w:p w14:paraId="6225CDDC" w14:textId="5F853822" w:rsidR="00014672" w:rsidRPr="00EE1486" w:rsidRDefault="00014672" w:rsidP="003A095E">
            <w:pPr>
              <w:spacing w:before="240"/>
              <w:ind w:firstLine="0"/>
              <w:jc w:val="left"/>
              <w:rPr>
                <w:rFonts w:eastAsia="Times New Roman" w:cs="Times New Roman"/>
                <w:color w:val="000000"/>
                <w:szCs w:val="24"/>
                <w:lang w:eastAsia="es-CO"/>
              </w:rPr>
            </w:pPr>
            <w:r w:rsidRPr="00EE1486">
              <w:rPr>
                <w:rFonts w:eastAsia="Times New Roman" w:cs="Times New Roman"/>
                <w:color w:val="000000"/>
                <w:szCs w:val="24"/>
                <w:lang w:eastAsia="es-CO"/>
              </w:rPr>
              <w:t>- Eliminación de la periodicidad anual del IVA</w:t>
            </w:r>
          </w:p>
        </w:tc>
      </w:tr>
    </w:tbl>
    <w:p w14:paraId="54A03421" w14:textId="76FCC30A" w:rsidR="00C82084" w:rsidRDefault="008441C8" w:rsidP="003A095E">
      <w:pPr>
        <w:spacing w:before="240"/>
        <w:ind w:firstLine="0"/>
        <w:jc w:val="left"/>
        <w:rPr>
          <w:rFonts w:cs="Times New Roman"/>
          <w:szCs w:val="24"/>
        </w:rPr>
      </w:pPr>
      <w:r w:rsidRPr="00EE1486">
        <w:rPr>
          <w:rFonts w:cs="Times New Roman"/>
          <w:szCs w:val="24"/>
        </w:rPr>
        <w:t>Fuente:</w:t>
      </w:r>
      <w:r w:rsidRPr="00EE1486">
        <w:rPr>
          <w:rFonts w:cs="Times New Roman"/>
          <w:spacing w:val="-2"/>
          <w:szCs w:val="24"/>
        </w:rPr>
        <w:t xml:space="preserve"> </w:t>
      </w:r>
      <w:r w:rsidR="00EE1486" w:rsidRPr="00EE1486">
        <w:rPr>
          <w:rFonts w:cs="Times New Roman"/>
          <w:szCs w:val="24"/>
        </w:rPr>
        <w:t>Mejía</w:t>
      </w:r>
      <w:r w:rsidR="00D50656" w:rsidRPr="00EE1486">
        <w:rPr>
          <w:rFonts w:cs="Times New Roman"/>
          <w:szCs w:val="24"/>
        </w:rPr>
        <w:t xml:space="preserve"> Cadavid, J</w:t>
      </w:r>
      <w:r w:rsidR="00EE1486">
        <w:rPr>
          <w:rFonts w:cs="Times New Roman"/>
          <w:szCs w:val="24"/>
        </w:rPr>
        <w:t>.</w:t>
      </w:r>
    </w:p>
    <w:p w14:paraId="1E6DD7CE" w14:textId="65E5F8F7" w:rsidR="00EE1486" w:rsidRDefault="00EE1486" w:rsidP="003A095E">
      <w:pPr>
        <w:spacing w:before="240" w:line="480" w:lineRule="auto"/>
        <w:ind w:firstLine="0"/>
        <w:jc w:val="left"/>
        <w:rPr>
          <w:rFonts w:eastAsia="Times New Roman" w:cs="Times New Roman"/>
          <w:szCs w:val="24"/>
          <w:lang w:val="es-ES"/>
        </w:rPr>
      </w:pPr>
    </w:p>
    <w:p w14:paraId="428CF605" w14:textId="235F463E" w:rsidR="00EE1486" w:rsidRDefault="00EE1486" w:rsidP="003A095E">
      <w:pPr>
        <w:spacing w:before="240" w:line="480" w:lineRule="auto"/>
        <w:ind w:firstLine="0"/>
        <w:jc w:val="left"/>
        <w:rPr>
          <w:rFonts w:eastAsia="Times New Roman" w:cs="Times New Roman"/>
          <w:szCs w:val="24"/>
          <w:lang w:val="es-ES"/>
        </w:rPr>
      </w:pPr>
    </w:p>
    <w:p w14:paraId="191672E5" w14:textId="77777777" w:rsidR="002F583B" w:rsidRDefault="002F583B" w:rsidP="003A095E">
      <w:pPr>
        <w:spacing w:before="240" w:line="480" w:lineRule="auto"/>
        <w:ind w:firstLine="0"/>
        <w:jc w:val="left"/>
        <w:rPr>
          <w:rFonts w:eastAsia="Times New Roman" w:cs="Times New Roman"/>
          <w:szCs w:val="24"/>
          <w:lang w:val="es-ES"/>
        </w:rPr>
      </w:pPr>
    </w:p>
    <w:p w14:paraId="4F62A1DA" w14:textId="15E7F8AC" w:rsidR="00EE1486" w:rsidRDefault="00EE1486" w:rsidP="003A095E">
      <w:pPr>
        <w:spacing w:before="240" w:line="480" w:lineRule="auto"/>
        <w:ind w:firstLine="0"/>
        <w:jc w:val="left"/>
        <w:rPr>
          <w:rFonts w:eastAsia="Times New Roman" w:cs="Times New Roman"/>
          <w:szCs w:val="24"/>
          <w:lang w:val="es-ES"/>
        </w:rPr>
      </w:pPr>
    </w:p>
    <w:p w14:paraId="7F3B951B" w14:textId="2BD4169C" w:rsidR="00EE1486" w:rsidRDefault="00EE1486" w:rsidP="003A095E">
      <w:pPr>
        <w:spacing w:before="240" w:line="480" w:lineRule="auto"/>
        <w:ind w:firstLine="0"/>
        <w:jc w:val="left"/>
        <w:rPr>
          <w:rFonts w:eastAsia="Times New Roman" w:cs="Times New Roman"/>
          <w:szCs w:val="24"/>
          <w:lang w:val="es-ES"/>
        </w:rPr>
      </w:pPr>
    </w:p>
    <w:p w14:paraId="0274246F" w14:textId="77777777" w:rsidR="00EE1486" w:rsidRPr="00EE1486" w:rsidRDefault="00EE1486" w:rsidP="003A095E">
      <w:pPr>
        <w:spacing w:before="240" w:line="480" w:lineRule="auto"/>
        <w:ind w:firstLine="0"/>
        <w:jc w:val="left"/>
        <w:rPr>
          <w:rFonts w:eastAsia="Times New Roman" w:cs="Times New Roman"/>
          <w:szCs w:val="24"/>
          <w:lang w:val="es-ES"/>
        </w:rPr>
      </w:pPr>
    </w:p>
    <w:p w14:paraId="0A992D6E" w14:textId="1578C166" w:rsidR="002A1D06" w:rsidRPr="00EE1486" w:rsidRDefault="002A1D06" w:rsidP="003A095E">
      <w:pPr>
        <w:pStyle w:val="Subttulo"/>
        <w:spacing w:line="480" w:lineRule="auto"/>
      </w:pPr>
      <w:r w:rsidRPr="00EE1486">
        <w:lastRenderedPageBreak/>
        <w:t xml:space="preserve">Iva descontable   </w:t>
      </w:r>
    </w:p>
    <w:p w14:paraId="503E779C" w14:textId="25028CEB" w:rsidR="003E24EC" w:rsidRPr="00EE1486" w:rsidRDefault="003E24E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El IVA, (impuesto al valor </w:t>
      </w:r>
      <w:r w:rsidR="00121D48" w:rsidRPr="00EE1486">
        <w:rPr>
          <w:rFonts w:eastAsia="Times New Roman" w:cs="Times New Roman"/>
          <w:szCs w:val="24"/>
          <w:lang w:eastAsia="es-CO"/>
        </w:rPr>
        <w:t>agregado) descontable</w:t>
      </w:r>
      <w:r w:rsidRPr="00EE1486">
        <w:rPr>
          <w:rFonts w:eastAsia="Times New Roman" w:cs="Times New Roman"/>
          <w:szCs w:val="24"/>
          <w:lang w:eastAsia="es-CO"/>
        </w:rPr>
        <w:t xml:space="preserve"> es un mecanismo tributario que permite a los contribuyentes deducir el IVA pagado en compras de bienes y servicios destinados a operaciones gravadas con el impuesto sobre las ventas. Según el artículo 488 del Estatuto Tributario, el derecho a descuento de IVA se otorga únicamente por compras e importaciones destinadas a dichas operaciones, y el cálculo de este IVA descontable se hará proporcional al monto de estas operaciones (Corredor Alejo, 2020).</w:t>
      </w:r>
    </w:p>
    <w:p w14:paraId="077F8B65" w14:textId="72ADCED1" w:rsidR="003E24EC" w:rsidRPr="00EE1486" w:rsidRDefault="003E24E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Hernández (2018) define el IVA descontable en los contratos de construcción como el impuesto que puede deducirse del IVA a pagar por los ingresos obtenidos en el contrato, aplicándose únicamente a los gastos directamente relacionados con los honorarios percibidos o la utilidad obtenida por el constructor. Esto significa que los costos de materiales y otros insumos no son deducibles si no están directamente asociados con la base gravable del IVA. En esta misma línea, González (2020) señala </w:t>
      </w:r>
      <w:r w:rsidR="00EE1486" w:rsidRPr="00EE1486">
        <w:rPr>
          <w:rFonts w:eastAsia="Times New Roman" w:cs="Times New Roman"/>
          <w:szCs w:val="24"/>
          <w:lang w:eastAsia="es-CO"/>
        </w:rPr>
        <w:t>que,</w:t>
      </w:r>
      <w:r w:rsidRPr="00EE1486">
        <w:rPr>
          <w:rFonts w:eastAsia="Times New Roman" w:cs="Times New Roman"/>
          <w:szCs w:val="24"/>
          <w:lang w:eastAsia="es-CO"/>
        </w:rPr>
        <w:t xml:space="preserve"> en los contratos de construcción de bienes inmuebles, el IVA se genera sobre los ingresos correspondientes a los honorarios del constructor, o sobre la utilidad del constructor si no se pactan honorarios. Ambos autores coinciden en que el IVA descontable solo se aplica a los gastos que tienen una relación directa con estos honorarios o utilidad.</w:t>
      </w:r>
    </w:p>
    <w:p w14:paraId="43134E80" w14:textId="77777777" w:rsidR="003E24EC" w:rsidRPr="00EE1486" w:rsidRDefault="003E24E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Además, Martínez (2019) complementa esta perspectiva explicando que el artículo 1.3.1.7.9 del Decreto 1625 de 2016 establece que el IVA en los contratos de construcción se limita a los honorarios obtenidos o la utilidad del constructor, y que solo los gastos directamente relacionados con estos conceptos pueden ser descontables. Esto asegura que el IVA pagado en materiales y otros costos generales no sea deducible, coincidiendo con lo expuesto por Hernández (2018) y González (2020).</w:t>
      </w:r>
    </w:p>
    <w:p w14:paraId="56B74FCD" w14:textId="77777777" w:rsidR="003E24EC" w:rsidRPr="00EE1486" w:rsidRDefault="003E24E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lastRenderedPageBreak/>
        <w:t>López (2024) refuerza este enfoque afirmando que el responsable del contrato de construcción solo puede descontar el IVA de los gastos que están directamente relacionados con los honorarios o la utilidad que constituyen la base gravable del impuesto. Este enfoque limita los descuentos al IVA pagado en gastos específicos como teléfono, papelería y otros gastos administrativos, alineándose con Martínez (2019) y González (2020).</w:t>
      </w:r>
    </w:p>
    <w:p w14:paraId="0E784DFE" w14:textId="756F1916" w:rsidR="008F56C1" w:rsidRDefault="003E24EC"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Finalmente, Álvarez (2020) indica </w:t>
      </w:r>
      <w:r w:rsidR="006813CB" w:rsidRPr="00EE1486">
        <w:rPr>
          <w:rFonts w:eastAsia="Times New Roman" w:cs="Times New Roman"/>
          <w:szCs w:val="24"/>
          <w:lang w:eastAsia="es-CO"/>
        </w:rPr>
        <w:t>que,</w:t>
      </w:r>
      <w:r w:rsidRPr="00EE1486">
        <w:rPr>
          <w:rFonts w:eastAsia="Times New Roman" w:cs="Times New Roman"/>
          <w:szCs w:val="24"/>
          <w:lang w:eastAsia="es-CO"/>
        </w:rPr>
        <w:t xml:space="preserve"> durante la ejecución de contratos de construcción, el IVA descontable solo es aplicable a los gastos directamente vinculados con los ingresos por honorarios o utilidad del constructor, según lo estipulado en el artículo 3 del Decreto 1372 de 1992. Esta regulación asegura que solo se descuenten los impuestos de los gastos específicos necesarios para la ejecución del contrato, reafirmando las posiciones de Hernández (2018), González (2020) y Martínez (2019).</w:t>
      </w:r>
    </w:p>
    <w:p w14:paraId="2555A95F" w14:textId="77777777" w:rsidR="008F56C1" w:rsidRPr="00110D9B" w:rsidRDefault="008F56C1" w:rsidP="00110D9B">
      <w:pPr>
        <w:pStyle w:val="Ttulo1"/>
        <w:spacing w:line="480" w:lineRule="auto"/>
        <w:jc w:val="center"/>
        <w:rPr>
          <w:rFonts w:eastAsia="Times New Roman"/>
          <w:lang w:eastAsia="es-CO"/>
        </w:rPr>
      </w:pPr>
    </w:p>
    <w:p w14:paraId="3B08F792" w14:textId="2328B281" w:rsidR="00611B8C" w:rsidRPr="00611B8C" w:rsidRDefault="00121D48" w:rsidP="00110D9B">
      <w:pPr>
        <w:pStyle w:val="Ttulo1"/>
        <w:spacing w:line="480" w:lineRule="auto"/>
        <w:jc w:val="center"/>
        <w:rPr>
          <w:rFonts w:eastAsia="Times New Roman"/>
          <w:lang w:eastAsia="es-CO"/>
        </w:rPr>
      </w:pPr>
      <w:bookmarkStart w:id="5" w:name="_Toc172121810"/>
      <w:r w:rsidRPr="00EE1486">
        <w:rPr>
          <w:rFonts w:eastAsia="Times New Roman"/>
          <w:lang w:eastAsia="es-CO"/>
        </w:rPr>
        <w:t>Metodología</w:t>
      </w:r>
      <w:bookmarkEnd w:id="5"/>
    </w:p>
    <w:p w14:paraId="4B7966D1" w14:textId="77777777" w:rsidR="002F583B" w:rsidRDefault="00B53253" w:rsidP="003A095E">
      <w:pPr>
        <w:spacing w:before="240" w:line="480" w:lineRule="auto"/>
        <w:ind w:firstLine="0"/>
        <w:jc w:val="left"/>
        <w:rPr>
          <w:rFonts w:cs="Times New Roman"/>
          <w:szCs w:val="24"/>
        </w:rPr>
      </w:pPr>
      <w:r w:rsidRPr="00EE1486">
        <w:rPr>
          <w:rFonts w:cs="Times New Roman"/>
          <w:szCs w:val="24"/>
        </w:rPr>
        <w:t xml:space="preserve">La metodología de esta investigación cualitativa y descriptiva se basó en una revisión documental exhaustiva para identificar y analizar prácticas indebidas con el IVA descontable en el sector de la construcción en Colombia. </w:t>
      </w:r>
    </w:p>
    <w:p w14:paraId="02E3E0A6" w14:textId="77777777" w:rsidR="002F583B" w:rsidRDefault="00B53253" w:rsidP="003A095E">
      <w:pPr>
        <w:spacing w:before="240" w:line="480" w:lineRule="auto"/>
        <w:ind w:firstLine="0"/>
        <w:jc w:val="left"/>
        <w:rPr>
          <w:rFonts w:cs="Times New Roman"/>
          <w:szCs w:val="24"/>
        </w:rPr>
      </w:pPr>
      <w:r w:rsidRPr="00EE1486">
        <w:rPr>
          <w:rFonts w:cs="Times New Roman"/>
          <w:szCs w:val="24"/>
        </w:rPr>
        <w:t xml:space="preserve">Se consultaron bases de datos académicas como Google Académico, SciELO, JSTOR y ProQuest, además de informes de la DIAN, normatividad vigente y artículos especializados. </w:t>
      </w:r>
    </w:p>
    <w:p w14:paraId="5A5A4F75" w14:textId="77777777" w:rsidR="002F583B" w:rsidRDefault="00B53253" w:rsidP="003A095E">
      <w:pPr>
        <w:spacing w:before="240" w:line="480" w:lineRule="auto"/>
        <w:ind w:firstLine="0"/>
        <w:jc w:val="left"/>
        <w:rPr>
          <w:rFonts w:cs="Times New Roman"/>
          <w:szCs w:val="24"/>
        </w:rPr>
      </w:pPr>
      <w:r w:rsidRPr="00EE1486">
        <w:rPr>
          <w:rFonts w:cs="Times New Roman"/>
          <w:szCs w:val="24"/>
        </w:rPr>
        <w:t xml:space="preserve">También se revisaron noticias en medios de comunicación reconocidos en el país. </w:t>
      </w:r>
    </w:p>
    <w:p w14:paraId="226AF89F" w14:textId="55A730B1" w:rsidR="000A0177" w:rsidRDefault="00B53253" w:rsidP="003A095E">
      <w:pPr>
        <w:spacing w:before="240" w:line="480" w:lineRule="auto"/>
        <w:ind w:firstLine="0"/>
        <w:jc w:val="left"/>
        <w:rPr>
          <w:rFonts w:cs="Times New Roman"/>
          <w:szCs w:val="24"/>
        </w:rPr>
      </w:pPr>
      <w:r w:rsidRPr="00EE1486">
        <w:rPr>
          <w:rFonts w:cs="Times New Roman"/>
          <w:szCs w:val="24"/>
        </w:rPr>
        <w:lastRenderedPageBreak/>
        <w:t>Los datos se analizaron mediante técnicas de contenido y comparación para identificar patrones de evasión y debilidades en la fiscalización, asegurando la validez y fiabilidad a través de la triangulación de fuentes y revisión por expertos, respetando la ética de la investigación y la confidencialidad de la información.</w:t>
      </w:r>
    </w:p>
    <w:p w14:paraId="0A03D371" w14:textId="4FD3410F" w:rsidR="002F583B" w:rsidRDefault="002F583B" w:rsidP="003A095E">
      <w:pPr>
        <w:spacing w:before="240" w:line="480" w:lineRule="auto"/>
        <w:ind w:firstLine="0"/>
        <w:jc w:val="left"/>
        <w:rPr>
          <w:rFonts w:cs="Times New Roman"/>
          <w:szCs w:val="24"/>
        </w:rPr>
      </w:pPr>
    </w:p>
    <w:p w14:paraId="4C2FED78" w14:textId="2A77C690" w:rsidR="00150700" w:rsidRDefault="00150700" w:rsidP="003A095E">
      <w:pPr>
        <w:pStyle w:val="Ttulo1"/>
        <w:spacing w:line="480" w:lineRule="auto"/>
        <w:jc w:val="center"/>
        <w:rPr>
          <w:rFonts w:eastAsia="Times New Roman"/>
          <w:lang w:eastAsia="es-CO"/>
        </w:rPr>
      </w:pPr>
      <w:bookmarkStart w:id="6" w:name="_Toc172121811"/>
      <w:r w:rsidRPr="00EE1486">
        <w:rPr>
          <w:rFonts w:eastAsia="Times New Roman"/>
          <w:lang w:eastAsia="es-CO"/>
        </w:rPr>
        <w:t>Resultados</w:t>
      </w:r>
      <w:bookmarkEnd w:id="6"/>
    </w:p>
    <w:p w14:paraId="78B80B3F" w14:textId="77777777" w:rsidR="00EE1486" w:rsidRPr="00EE1486" w:rsidRDefault="00EE1486" w:rsidP="003A095E">
      <w:pPr>
        <w:spacing w:before="240" w:line="480" w:lineRule="auto"/>
        <w:ind w:firstLine="0"/>
        <w:jc w:val="center"/>
        <w:rPr>
          <w:rFonts w:eastAsia="Times New Roman" w:cs="Times New Roman"/>
          <w:b/>
          <w:bCs/>
          <w:szCs w:val="24"/>
          <w:lang w:eastAsia="es-CO"/>
        </w:rPr>
      </w:pPr>
    </w:p>
    <w:p w14:paraId="10944970" w14:textId="7952886F" w:rsidR="00150700" w:rsidRPr="00EE1486" w:rsidRDefault="00150700" w:rsidP="003A095E">
      <w:pPr>
        <w:pStyle w:val="Ttulo2"/>
        <w:spacing w:line="480" w:lineRule="auto"/>
        <w:ind w:firstLine="0"/>
        <w:rPr>
          <w:rFonts w:eastAsia="Times New Roman"/>
          <w:b w:val="0"/>
          <w:lang w:eastAsia="es-CO"/>
        </w:rPr>
      </w:pPr>
      <w:bookmarkStart w:id="7" w:name="_Toc172121812"/>
      <w:r w:rsidRPr="00EE1486">
        <w:t>Revisión de artículos académicos y publicaciones especializadas sobre la aplicación del IVA en el sector de la construcción</w:t>
      </w:r>
      <w:bookmarkEnd w:id="7"/>
    </w:p>
    <w:p w14:paraId="061240B9" w14:textId="77777777" w:rsidR="00906631" w:rsidRPr="00EE1486" w:rsidRDefault="00906631"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Existen indicios de evasión de impuestos en el uso del AIU en contratos de construcción debido a varios factores. Granados (2015) y Rivera (2014) coinciden en que la incorrecta aplicación del AIU en servicios no relacionados con la construcción de bienes inmuebles, como pintores y electricistas, contraviene la normativa del Decreto 1372 de 1992. Además, la liquidación inadecuada del IVA sobre la totalidad de los costos y no solo sobre los honorarios o utilidades del constructor resulta en evasión fiscal. Ambos autores destacan que el manejo inapropiado de los IVA descontables, incluyendo costos de producción y otros gastos no permitidos, incrementa indebidamente la utilidad del contratista. Rivera subraya la falta de ética y conocimiento de los profesionales involucrados, así como la insuficiente fiscalización por parte de la DIAN.</w:t>
      </w:r>
    </w:p>
    <w:p w14:paraId="05499EC0" w14:textId="77777777" w:rsidR="00906631" w:rsidRPr="00EE1486" w:rsidRDefault="00906631"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Chaparro (2018) añade que el bajo nivel de conocimiento sobre la normativa aplicable, agravado por la constante renovación legislativa, dificulta la adaptación de los contribuyentes. También menciona la incorrecta aplicación del AIU, incluyendo costos y gastos que no deberían ser </w:t>
      </w:r>
      <w:r w:rsidRPr="00EE1486">
        <w:rPr>
          <w:rFonts w:eastAsia="Times New Roman" w:cs="Times New Roman"/>
          <w:szCs w:val="24"/>
          <w:lang w:eastAsia="es-CO"/>
        </w:rPr>
        <w:lastRenderedPageBreak/>
        <w:t>descontables según el Decreto 1372 de 1992 y el artículo 100 de la Ley 21 de 1992. La autora resalta la falta de ética y conocimiento de los profesionales, y la ineficiencia de la DIAN en la fiscalización, sugiriendo la necesidad de reeducar a los contribuyentes y reformar la legislación para clarificar las obligaciones tributarias y fortalecer los mecanismos de control.</w:t>
      </w:r>
    </w:p>
    <w:p w14:paraId="745BDF4C" w14:textId="77777777" w:rsidR="00906631" w:rsidRPr="00D01BEA" w:rsidRDefault="00906631" w:rsidP="003A095E">
      <w:pPr>
        <w:spacing w:before="240" w:line="480" w:lineRule="auto"/>
        <w:ind w:firstLine="0"/>
        <w:jc w:val="left"/>
        <w:rPr>
          <w:rFonts w:eastAsia="Times New Roman" w:cs="Times New Roman"/>
          <w:szCs w:val="24"/>
          <w:lang w:eastAsia="es-CO"/>
        </w:rPr>
      </w:pPr>
      <w:r w:rsidRPr="00D01BEA">
        <w:rPr>
          <w:rFonts w:eastAsia="Times New Roman" w:cs="Times New Roman"/>
          <w:szCs w:val="24"/>
          <w:lang w:eastAsia="es-CO"/>
        </w:rPr>
        <w:t xml:space="preserve">El Oficio 27292 de 2017 de la DIAN aclara </w:t>
      </w:r>
      <w:proofErr w:type="gramStart"/>
      <w:r w:rsidRPr="00D01BEA">
        <w:rPr>
          <w:rFonts w:eastAsia="Times New Roman" w:cs="Times New Roman"/>
          <w:szCs w:val="24"/>
          <w:lang w:eastAsia="es-CO"/>
        </w:rPr>
        <w:t>que</w:t>
      </w:r>
      <w:proofErr w:type="gramEnd"/>
      <w:r w:rsidRPr="00D01BEA">
        <w:rPr>
          <w:rFonts w:eastAsia="Times New Roman" w:cs="Times New Roman"/>
          <w:szCs w:val="24"/>
          <w:lang w:eastAsia="es-CO"/>
        </w:rPr>
        <w:t xml:space="preserve"> en los contratos de construcción de bienes inmuebles, el IVA se genera sobre los honorarios del constructor o, si no se pactan honorarios, sobre la utilidad del constructor. Este oficio destaca la importancia de limitar los gastos deducibles a aquellos directamente relacionados con la utilidad o los honorarios, evitando extender el tratamiento del AIU a contratos no previstos en la ley.</w:t>
      </w:r>
    </w:p>
    <w:p w14:paraId="0392659E" w14:textId="77777777" w:rsidR="00906631" w:rsidRPr="00D01BEA" w:rsidRDefault="00906631" w:rsidP="003A095E">
      <w:pPr>
        <w:spacing w:before="240" w:line="480" w:lineRule="auto"/>
        <w:ind w:firstLine="0"/>
        <w:jc w:val="left"/>
        <w:rPr>
          <w:rFonts w:eastAsia="Times New Roman" w:cs="Times New Roman"/>
          <w:szCs w:val="24"/>
          <w:lang w:eastAsia="es-CO"/>
        </w:rPr>
      </w:pPr>
      <w:r w:rsidRPr="00D01BEA">
        <w:rPr>
          <w:rFonts w:eastAsia="Times New Roman" w:cs="Times New Roman"/>
          <w:szCs w:val="24"/>
          <w:lang w:eastAsia="es-CO"/>
        </w:rPr>
        <w:t>De manera similar, el Oficio 6456 de 2018 de la DIAN especifica que el IVA en los contratos de construcción de bienes inmuebles debe generarse sobre los honorarios o la utilidad del constructor, y subraya que la base gravable del IVA debe incluir únicamente los costos directamente relacionados con estos conceptos, evitando la evasión fiscal.</w:t>
      </w:r>
    </w:p>
    <w:p w14:paraId="22510D61" w14:textId="77777777" w:rsidR="00906631" w:rsidRPr="00EE1486" w:rsidRDefault="00906631" w:rsidP="003A095E">
      <w:pPr>
        <w:spacing w:before="240" w:line="480" w:lineRule="auto"/>
        <w:ind w:firstLine="0"/>
        <w:jc w:val="left"/>
        <w:rPr>
          <w:rFonts w:eastAsia="Times New Roman" w:cs="Times New Roman"/>
          <w:szCs w:val="24"/>
          <w:lang w:eastAsia="es-CO"/>
        </w:rPr>
      </w:pPr>
      <w:r w:rsidRPr="00D01BEA">
        <w:rPr>
          <w:rFonts w:eastAsia="Times New Roman" w:cs="Times New Roman"/>
          <w:szCs w:val="24"/>
          <w:lang w:eastAsia="es-CO"/>
        </w:rPr>
        <w:t>Finalmente, el Oficio 21815 de 2013 de la DIAN establece que el IVA debe generarse únicamente sobre los honorarios o la utilidad del constructor, excluyendo otros costos de la base gravable. Este documento enfatiza la responsabilidad de los contribuyentes de cumplir con la normativa para prevenir prácticas de evasión fiscal.</w:t>
      </w:r>
    </w:p>
    <w:p w14:paraId="5762C799" w14:textId="03902336" w:rsidR="003E24EC" w:rsidRPr="00EE1486" w:rsidRDefault="003E24EC" w:rsidP="003A095E">
      <w:pPr>
        <w:spacing w:before="240" w:line="480" w:lineRule="auto"/>
        <w:ind w:firstLine="0"/>
        <w:jc w:val="left"/>
        <w:rPr>
          <w:rFonts w:eastAsia="Times New Roman" w:cs="Times New Roman"/>
          <w:szCs w:val="24"/>
          <w:lang w:eastAsia="es-CO"/>
        </w:rPr>
      </w:pPr>
    </w:p>
    <w:p w14:paraId="4C88F078" w14:textId="75B45A70" w:rsidR="00561EE5" w:rsidRPr="00EE1486" w:rsidRDefault="00561EE5" w:rsidP="003A095E">
      <w:pPr>
        <w:pStyle w:val="Ttulo2"/>
        <w:spacing w:line="480" w:lineRule="auto"/>
        <w:ind w:firstLine="0"/>
      </w:pPr>
      <w:bookmarkStart w:id="8" w:name="_Toc172121813"/>
      <w:r w:rsidRPr="00EE1486">
        <w:t>Análisis de reportes y documentos fiscales sobre prácticas indebidas con el IVA descontable</w:t>
      </w:r>
      <w:bookmarkEnd w:id="8"/>
    </w:p>
    <w:p w14:paraId="378DF7D7" w14:textId="77777777"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La evasión del IVA en materiales de construcción en Colombia alcanza aproximadamente $500.000 millones anuales, facilitada por la informalidad en el suministro de materiales y la falta </w:t>
      </w:r>
      <w:r w:rsidRPr="00EE1486">
        <w:rPr>
          <w:rFonts w:eastAsia="Times New Roman" w:cs="Times New Roman"/>
          <w:szCs w:val="24"/>
          <w:lang w:eastAsia="es-CO"/>
        </w:rPr>
        <w:lastRenderedPageBreak/>
        <w:t>de control sobre proveedores. Prácticas como la separación de facturas de producción y transporte de concreto premezclado, omitiendo el IVA en el transporte, son comunes para reducir el valor del impuesto (Mendoza, 2022).</w:t>
      </w:r>
    </w:p>
    <w:p w14:paraId="5C69D5EF" w14:textId="77777777"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Por otro lado, Rivera (2019) identifica varias causas de la evasión del IVA en Colombia entre 2010-2018, destacando la alta presión tributaria, la economía informal, el contrabando y la falta de un sistema eficiente de recaudación. Además, menciona la corrupción y la percepción de uso ineficiente de recursos, junto con la falta de educación tributaria y constante renovación legislativa, como factores que dificultan el cumplimiento de las obligaciones fiscales.</w:t>
      </w:r>
    </w:p>
    <w:p w14:paraId="54C4C3C3" w14:textId="6C40ECFF"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 xml:space="preserve">De manera similar, Martínez et al. (2020) destacan que en la construcción se utilizan estrategias como la venta de facturas para deducir gastos inexistentes, la informalidad, la omisión en la facturación del IVA y la inclusión de gastos no relacionados con la actividad económica. La falta de sanciones eficaces permite que estas prácticas persistan, y la alta informalidad y </w:t>
      </w:r>
      <w:r w:rsidR="0084578C">
        <w:rPr>
          <w:rFonts w:eastAsia="Times New Roman" w:cs="Times New Roman"/>
          <w:szCs w:val="24"/>
          <w:lang w:eastAsia="es-CO"/>
        </w:rPr>
        <w:t xml:space="preserve">la indiferencia </w:t>
      </w:r>
      <w:r w:rsidR="0084578C" w:rsidRPr="00EE1486">
        <w:rPr>
          <w:rFonts w:eastAsia="Times New Roman" w:cs="Times New Roman"/>
          <w:szCs w:val="24"/>
          <w:lang w:eastAsia="es-CO"/>
        </w:rPr>
        <w:t>de</w:t>
      </w:r>
      <w:r w:rsidRPr="00EE1486">
        <w:rPr>
          <w:rFonts w:eastAsia="Times New Roman" w:cs="Times New Roman"/>
          <w:szCs w:val="24"/>
          <w:lang w:eastAsia="es-CO"/>
        </w:rPr>
        <w:t xml:space="preserve"> los contribuyentes complican el recaudo tributario.</w:t>
      </w:r>
      <w:r w:rsidR="00121D48" w:rsidRPr="00EE1486">
        <w:rPr>
          <w:rFonts w:eastAsia="Times New Roman" w:cs="Times New Roman"/>
          <w:szCs w:val="24"/>
          <w:lang w:eastAsia="es-CO"/>
        </w:rPr>
        <w:t xml:space="preserve"> </w:t>
      </w:r>
      <w:r w:rsidRPr="00EE1486">
        <w:rPr>
          <w:rFonts w:eastAsia="Times New Roman" w:cs="Times New Roman"/>
          <w:szCs w:val="24"/>
          <w:lang w:eastAsia="es-CO"/>
        </w:rPr>
        <w:t xml:space="preserve">Además, </w:t>
      </w:r>
      <w:proofErr w:type="spellStart"/>
      <w:r w:rsidRPr="00EE1486">
        <w:rPr>
          <w:rFonts w:eastAsia="Times New Roman" w:cs="Times New Roman"/>
          <w:szCs w:val="24"/>
          <w:lang w:eastAsia="es-CO"/>
        </w:rPr>
        <w:t>Rasteletti</w:t>
      </w:r>
      <w:proofErr w:type="spellEnd"/>
      <w:r w:rsidRPr="00EE1486">
        <w:rPr>
          <w:rFonts w:eastAsia="Times New Roman" w:cs="Times New Roman"/>
          <w:szCs w:val="24"/>
          <w:lang w:eastAsia="es-CO"/>
        </w:rPr>
        <w:t xml:space="preserve"> y Saravia (2023) también señalan que la evasión fiscal en el IVA es significativa por la alta presión tributaria, la economía informal, el contrabando y la corrupción. La falta de un sistema eficiente de recaudación y la percepción de que los recursos se utilizan ineficazmente desmotivan a los contribuyentes.</w:t>
      </w:r>
    </w:p>
    <w:p w14:paraId="1B96E4A9" w14:textId="682277D4"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La evasión del IVA en el sector de la construcción asciende a $500.000 millones anuales, agravada por la informalidad y la falta de control sobre proveedores. La práctica de separar facturas para la producción y transporte del concreto premezclado, omitiendo el IVA en el transporte, es utilizada para reducir el impuesto pagado (Semana, 2022; Diario del Huila, 2022; Ciudad</w:t>
      </w:r>
      <w:r w:rsidR="0084578C">
        <w:rPr>
          <w:rFonts w:eastAsia="Times New Roman" w:cs="Times New Roman"/>
          <w:szCs w:val="24"/>
          <w:lang w:eastAsia="es-CO"/>
        </w:rPr>
        <w:t xml:space="preserve"> </w:t>
      </w:r>
      <w:r w:rsidR="0084578C" w:rsidRPr="00EE1486">
        <w:rPr>
          <w:rFonts w:eastAsia="Times New Roman" w:cs="Times New Roman"/>
          <w:szCs w:val="24"/>
          <w:lang w:eastAsia="es-CO"/>
        </w:rPr>
        <w:t>Región</w:t>
      </w:r>
      <w:r w:rsidRPr="00EE1486">
        <w:rPr>
          <w:rFonts w:eastAsia="Times New Roman" w:cs="Times New Roman"/>
          <w:szCs w:val="24"/>
          <w:lang w:eastAsia="es-CO"/>
        </w:rPr>
        <w:t>, 2022).</w:t>
      </w:r>
    </w:p>
    <w:p w14:paraId="4C3BC5D1" w14:textId="7508869C"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lastRenderedPageBreak/>
        <w:t>Por otro lado, el "Cartel de la Evasión del IVA" en Colombia ha evadido $2,3 billones de pesos en más de 12 años, mediante la falsificación de facturas y la creación de empresas de papel para reclamar ilícitamente impuestos del IVA, riqueza y renta, afectando aproximadamente 2,000 empresas (Transparencia por Colombia, 2023).</w:t>
      </w:r>
      <w:r w:rsidR="00121D48" w:rsidRPr="00EE1486">
        <w:rPr>
          <w:rFonts w:eastAsia="Times New Roman" w:cs="Times New Roman"/>
          <w:szCs w:val="24"/>
          <w:lang w:eastAsia="es-CO"/>
        </w:rPr>
        <w:t xml:space="preserve"> </w:t>
      </w:r>
      <w:r w:rsidRPr="00EE1486">
        <w:rPr>
          <w:rFonts w:eastAsia="Times New Roman" w:cs="Times New Roman"/>
          <w:szCs w:val="24"/>
          <w:lang w:eastAsia="es-CO"/>
        </w:rPr>
        <w:t xml:space="preserve">Finalmente, </w:t>
      </w:r>
      <w:proofErr w:type="spellStart"/>
      <w:r w:rsidRPr="00EE1486">
        <w:rPr>
          <w:rFonts w:eastAsia="Times New Roman" w:cs="Times New Roman"/>
          <w:szCs w:val="24"/>
          <w:lang w:eastAsia="es-CO"/>
        </w:rPr>
        <w:t>Asogravas</w:t>
      </w:r>
      <w:proofErr w:type="spellEnd"/>
      <w:r w:rsidRPr="00EE1486">
        <w:rPr>
          <w:rFonts w:eastAsia="Times New Roman" w:cs="Times New Roman"/>
          <w:szCs w:val="24"/>
          <w:lang w:eastAsia="es-CO"/>
        </w:rPr>
        <w:t xml:space="preserve"> menciona que el 50% de las mezclas de concreto en Colombia son realizadas por entidades informales o personas sin control de calidad o ambiental, resultando en una evasión de impuestos y regalías de al menos $250.000 millones anuales. Según la DIAN, a mayo de 2022, 22.140 contribuyentes del sector construcción adeudan al Estado $1,2 billones de pesos (</w:t>
      </w:r>
      <w:proofErr w:type="spellStart"/>
      <w:r w:rsidRPr="00EE1486">
        <w:rPr>
          <w:rFonts w:eastAsia="Times New Roman" w:cs="Times New Roman"/>
          <w:szCs w:val="24"/>
          <w:lang w:eastAsia="es-CO"/>
        </w:rPr>
        <w:t>Asogravas</w:t>
      </w:r>
      <w:proofErr w:type="spellEnd"/>
      <w:r w:rsidRPr="00EE1486">
        <w:rPr>
          <w:rFonts w:eastAsia="Times New Roman" w:cs="Times New Roman"/>
          <w:szCs w:val="24"/>
          <w:lang w:eastAsia="es-CO"/>
        </w:rPr>
        <w:t>, 2022).</w:t>
      </w:r>
    </w:p>
    <w:p w14:paraId="4DCB9451" w14:textId="77777777" w:rsidR="00D01BEA" w:rsidRPr="00EE1486" w:rsidRDefault="00D01BEA" w:rsidP="003A095E">
      <w:pPr>
        <w:spacing w:before="240" w:line="480" w:lineRule="auto"/>
        <w:ind w:firstLine="0"/>
        <w:jc w:val="left"/>
        <w:rPr>
          <w:rFonts w:eastAsia="Times New Roman" w:cs="Times New Roman"/>
          <w:szCs w:val="24"/>
          <w:lang w:eastAsia="es-CO"/>
        </w:rPr>
      </w:pPr>
    </w:p>
    <w:p w14:paraId="515E802D" w14:textId="05E91069" w:rsidR="000A0177" w:rsidRPr="0084578C" w:rsidRDefault="000A0177" w:rsidP="00110D9B">
      <w:pPr>
        <w:pStyle w:val="Ttulo1"/>
        <w:spacing w:line="480" w:lineRule="auto"/>
        <w:jc w:val="center"/>
        <w:rPr>
          <w:rFonts w:eastAsia="Times New Roman"/>
          <w:lang w:eastAsia="es-CO"/>
        </w:rPr>
      </w:pPr>
      <w:bookmarkStart w:id="9" w:name="_Toc172121814"/>
      <w:r w:rsidRPr="0084578C">
        <w:rPr>
          <w:rFonts w:eastAsia="Times New Roman"/>
          <w:lang w:eastAsia="es-CO"/>
        </w:rPr>
        <w:t>Conclusiones</w:t>
      </w:r>
      <w:bookmarkEnd w:id="9"/>
    </w:p>
    <w:p w14:paraId="32044633" w14:textId="77777777"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La revisión de artículos académicos y reportes fiscales revela que la evasión del IVA en el sector de la construcción en Colombia es un problema significativo, con pérdidas anuales de aproximadamente $500.000 millones. La informalidad en el suministro de materiales y la falta de control sobre proveedores facilitan estas prácticas, destacándose la separación de facturas de producción y transporte de concreto premezclado como una estrategia común para omitir el IVA.</w:t>
      </w:r>
    </w:p>
    <w:p w14:paraId="6905E146" w14:textId="6D6F40C5" w:rsidR="000A0177"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Las causas incluyen la alta presión tributaria, la economía informal, el contrabando y la ineficiencia en el sistema de recaudación, agravadas por la corrupción y la percepción de un uso ineficaz de los recursos. La falta de educación tributaria y la constante renovación legislativa complican el cumplimiento de las obligaciones fiscales. Estrategias como la venta de facturas para deducir gastos inexistentes y la omisión en la facturación del IVA son comunes, y la falta de sanciones eficaces perpetúa estas prácticas.</w:t>
      </w:r>
    </w:p>
    <w:p w14:paraId="6014B6DB" w14:textId="606ABEBE" w:rsidR="0084578C" w:rsidRPr="00EE1486" w:rsidRDefault="005836A9" w:rsidP="003A095E">
      <w:pPr>
        <w:spacing w:before="240" w:line="480" w:lineRule="auto"/>
        <w:ind w:firstLine="0"/>
        <w:jc w:val="left"/>
        <w:rPr>
          <w:rFonts w:eastAsia="Times New Roman" w:cs="Times New Roman"/>
          <w:szCs w:val="24"/>
          <w:lang w:eastAsia="es-CO"/>
        </w:rPr>
      </w:pPr>
      <w:r w:rsidRPr="00D01BEA">
        <w:rPr>
          <w:rFonts w:eastAsia="Times New Roman" w:cs="Times New Roman"/>
          <w:szCs w:val="24"/>
          <w:lang w:eastAsia="es-CO"/>
        </w:rPr>
        <w:lastRenderedPageBreak/>
        <w:t>También</w:t>
      </w:r>
      <w:r w:rsidR="002244AB" w:rsidRPr="00D01BEA">
        <w:rPr>
          <w:rFonts w:eastAsia="Times New Roman" w:cs="Times New Roman"/>
          <w:szCs w:val="24"/>
          <w:lang w:eastAsia="es-CO"/>
        </w:rPr>
        <w:t xml:space="preserve"> es muy importante plantear la </w:t>
      </w:r>
      <w:r w:rsidR="00653CDE" w:rsidRPr="00D01BEA">
        <w:rPr>
          <w:rFonts w:eastAsia="Times New Roman" w:cs="Times New Roman"/>
          <w:szCs w:val="24"/>
          <w:lang w:eastAsia="es-CO"/>
        </w:rPr>
        <w:t>reeducación del</w:t>
      </w:r>
      <w:r w:rsidR="002244AB" w:rsidRPr="00D01BEA">
        <w:rPr>
          <w:rFonts w:eastAsia="Times New Roman" w:cs="Times New Roman"/>
          <w:szCs w:val="24"/>
          <w:lang w:eastAsia="es-CO"/>
        </w:rPr>
        <w:t xml:space="preserve"> contribuyente, buscando cambiar la cultura del no pago, la evasión y </w:t>
      </w:r>
      <w:r w:rsidRPr="00D01BEA">
        <w:rPr>
          <w:rFonts w:eastAsia="Times New Roman" w:cs="Times New Roman"/>
          <w:szCs w:val="24"/>
          <w:lang w:eastAsia="es-CO"/>
        </w:rPr>
        <w:t>elusión</w:t>
      </w:r>
      <w:r w:rsidR="002244AB" w:rsidRPr="00D01BEA">
        <w:rPr>
          <w:rFonts w:eastAsia="Times New Roman" w:cs="Times New Roman"/>
          <w:szCs w:val="24"/>
          <w:lang w:eastAsia="es-CO"/>
        </w:rPr>
        <w:t xml:space="preserve"> de los impuestos para que </w:t>
      </w:r>
      <w:r w:rsidR="00D01BEA" w:rsidRPr="00D01BEA">
        <w:rPr>
          <w:rFonts w:eastAsia="Times New Roman" w:cs="Times New Roman"/>
          <w:szCs w:val="24"/>
          <w:lang w:eastAsia="es-CO"/>
        </w:rPr>
        <w:t>as</w:t>
      </w:r>
      <w:r w:rsidR="002F583B">
        <w:rPr>
          <w:rFonts w:eastAsia="Times New Roman" w:cs="Times New Roman"/>
          <w:szCs w:val="24"/>
          <w:lang w:eastAsia="es-CO"/>
        </w:rPr>
        <w:t>í</w:t>
      </w:r>
      <w:r w:rsidR="002244AB" w:rsidRPr="00D01BEA">
        <w:rPr>
          <w:rFonts w:eastAsia="Times New Roman" w:cs="Times New Roman"/>
          <w:szCs w:val="24"/>
          <w:lang w:eastAsia="es-CO"/>
        </w:rPr>
        <w:t xml:space="preserve"> prevalezca una información financiera real </w:t>
      </w:r>
      <w:r w:rsidRPr="00D01BEA">
        <w:rPr>
          <w:rFonts w:eastAsia="Times New Roman" w:cs="Times New Roman"/>
          <w:szCs w:val="24"/>
          <w:lang w:eastAsia="es-CO"/>
        </w:rPr>
        <w:t>pe</w:t>
      </w:r>
      <w:r w:rsidR="002F583B">
        <w:rPr>
          <w:rFonts w:eastAsia="Times New Roman" w:cs="Times New Roman"/>
          <w:szCs w:val="24"/>
          <w:lang w:eastAsia="es-CO"/>
        </w:rPr>
        <w:t>rmitiendo</w:t>
      </w:r>
      <w:r w:rsidRPr="00D01BEA">
        <w:rPr>
          <w:rFonts w:eastAsia="Times New Roman" w:cs="Times New Roman"/>
          <w:szCs w:val="24"/>
          <w:lang w:eastAsia="es-CO"/>
        </w:rPr>
        <w:t xml:space="preserve"> así la justa </w:t>
      </w:r>
      <w:r w:rsidR="00653CDE" w:rsidRPr="00D01BEA">
        <w:rPr>
          <w:rFonts w:eastAsia="Times New Roman" w:cs="Times New Roman"/>
          <w:szCs w:val="24"/>
          <w:lang w:eastAsia="es-CO"/>
        </w:rPr>
        <w:t>aplicación de</w:t>
      </w:r>
      <w:r w:rsidRPr="00D01BEA">
        <w:rPr>
          <w:rFonts w:eastAsia="Times New Roman" w:cs="Times New Roman"/>
          <w:szCs w:val="24"/>
          <w:lang w:eastAsia="es-CO"/>
        </w:rPr>
        <w:t xml:space="preserve"> la norma al momento de tributar.</w:t>
      </w:r>
    </w:p>
    <w:p w14:paraId="21A036F6" w14:textId="1767F342" w:rsidR="000A0177" w:rsidRPr="00EE1486" w:rsidRDefault="000A0177"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Finalmente, informes oficiales y documentos de la DIAN confirman la magnitud de la evasión y las estrategias utilizadas, como la falsificación de facturas y la creación de empresas de papel. En el sector de las mezclas de concreto, la producción por entidades informales contribuye a la evasión de impuestos y regalías, mientras que la deuda de contribuyentes del sector construcción al Estado asciende a $1,2 billones de pesos. La combinación de estos factores crea un entorno propicio para la evasión del IVA, requiriendo medidas urgentes de control y fiscalización.</w:t>
      </w:r>
    </w:p>
    <w:p w14:paraId="4160084B" w14:textId="7A2461B3" w:rsidR="00561EE5" w:rsidRDefault="00121D48" w:rsidP="003A095E">
      <w:pPr>
        <w:spacing w:before="240" w:line="480" w:lineRule="auto"/>
        <w:ind w:firstLine="0"/>
        <w:jc w:val="left"/>
        <w:rPr>
          <w:rFonts w:eastAsia="Times New Roman" w:cs="Times New Roman"/>
          <w:szCs w:val="24"/>
          <w:lang w:eastAsia="es-CO"/>
        </w:rPr>
      </w:pPr>
      <w:r w:rsidRPr="00EE1486">
        <w:rPr>
          <w:rFonts w:eastAsia="Times New Roman" w:cs="Times New Roman"/>
          <w:szCs w:val="24"/>
          <w:lang w:eastAsia="es-CO"/>
        </w:rPr>
        <w:t>La investigación concluye que la evasión del IVA en el sector de la construcción en Colombia es un problema significativo que resulta en pérdidas fiscales sustanciales debido a la informalidad del sector, la falta de claridad normativa, la baja fiscalización y el abuso de la norma. Los constructores buscan maximizar sus utilidades al descontarse un impuesto al cual no tienen derecho, aprovechándose de estas debilidades sistémicas. Este comportamiento afecta la equidad y eficiencia del sistema tributario, subrayando la necesidad urgente de una revisión exhaustiva de la normativa y de mecanismos de control más efectivos para asegurar un cumplimiento adecuado y justo de las obligaciones tributarias.</w:t>
      </w:r>
    </w:p>
    <w:p w14:paraId="60C518B2" w14:textId="04514A7F" w:rsidR="002F583B" w:rsidRDefault="002F583B" w:rsidP="003A095E">
      <w:pPr>
        <w:spacing w:before="240" w:line="480" w:lineRule="auto"/>
        <w:ind w:firstLine="0"/>
        <w:jc w:val="left"/>
        <w:rPr>
          <w:rFonts w:eastAsia="Times New Roman" w:cs="Times New Roman"/>
          <w:szCs w:val="24"/>
          <w:lang w:eastAsia="es-CO"/>
        </w:rPr>
      </w:pPr>
    </w:p>
    <w:p w14:paraId="3DA397D8" w14:textId="77777777" w:rsidR="002F583B" w:rsidRDefault="002F583B" w:rsidP="003A095E">
      <w:pPr>
        <w:spacing w:before="240" w:line="480" w:lineRule="auto"/>
        <w:ind w:firstLine="0"/>
        <w:jc w:val="left"/>
        <w:rPr>
          <w:rFonts w:eastAsia="Times New Roman" w:cs="Times New Roman"/>
          <w:szCs w:val="24"/>
          <w:lang w:eastAsia="es-CO"/>
        </w:rPr>
      </w:pPr>
    </w:p>
    <w:p w14:paraId="58F49D19" w14:textId="5F4030BF" w:rsidR="0084578C" w:rsidRDefault="0084578C" w:rsidP="00EE1486">
      <w:pPr>
        <w:spacing w:before="240" w:line="240" w:lineRule="auto"/>
        <w:ind w:firstLine="0"/>
        <w:jc w:val="left"/>
        <w:rPr>
          <w:rFonts w:eastAsia="Times New Roman" w:cs="Times New Roman"/>
          <w:szCs w:val="24"/>
          <w:lang w:eastAsia="es-CO"/>
        </w:rPr>
      </w:pPr>
    </w:p>
    <w:p w14:paraId="3C9AF2E4" w14:textId="1F64F710" w:rsidR="00611B8C" w:rsidRDefault="00611B8C" w:rsidP="00EE1486">
      <w:pPr>
        <w:spacing w:before="240" w:line="240" w:lineRule="auto"/>
        <w:ind w:firstLine="0"/>
        <w:jc w:val="left"/>
        <w:rPr>
          <w:rFonts w:eastAsia="Times New Roman" w:cs="Times New Roman"/>
          <w:szCs w:val="24"/>
          <w:lang w:eastAsia="es-CO"/>
        </w:rPr>
      </w:pPr>
    </w:p>
    <w:p w14:paraId="7F66D94E" w14:textId="77777777" w:rsidR="00611B8C" w:rsidRDefault="00611B8C" w:rsidP="00EE1486">
      <w:pPr>
        <w:spacing w:before="240" w:line="240" w:lineRule="auto"/>
        <w:ind w:firstLine="0"/>
        <w:jc w:val="left"/>
        <w:rPr>
          <w:rFonts w:eastAsia="Times New Roman" w:cs="Times New Roman"/>
          <w:szCs w:val="24"/>
          <w:lang w:eastAsia="es-CO"/>
        </w:rPr>
      </w:pPr>
    </w:p>
    <w:p w14:paraId="3771ED36" w14:textId="33E835A4" w:rsidR="00561EE5" w:rsidRPr="003A095E" w:rsidRDefault="008F56C1" w:rsidP="003A095E">
      <w:pPr>
        <w:pStyle w:val="Ttulo1"/>
        <w:jc w:val="center"/>
      </w:pPr>
      <w:bookmarkStart w:id="10" w:name="_Toc172121815"/>
      <w:r w:rsidRPr="003A095E">
        <w:t>Referencias</w:t>
      </w:r>
      <w:bookmarkEnd w:id="10"/>
    </w:p>
    <w:p w14:paraId="7CC209BE" w14:textId="77777777" w:rsidR="0084578C" w:rsidRPr="00266508" w:rsidRDefault="0084578C" w:rsidP="00266508">
      <w:pPr>
        <w:spacing w:before="240" w:line="240" w:lineRule="auto"/>
        <w:ind w:firstLine="0"/>
        <w:rPr>
          <w:rFonts w:cs="Times New Roman"/>
          <w:szCs w:val="24"/>
        </w:rPr>
      </w:pPr>
    </w:p>
    <w:p w14:paraId="6E4A9E98" w14:textId="77422DC5" w:rsidR="006813CB" w:rsidRPr="00266508" w:rsidRDefault="00121D48" w:rsidP="003A095E">
      <w:pPr>
        <w:pStyle w:val="NormalWeb"/>
        <w:spacing w:before="100" w:after="100"/>
        <w:ind w:left="680"/>
        <w:jc w:val="left"/>
        <w:rPr>
          <w:color w:val="000000" w:themeColor="text1"/>
        </w:rPr>
      </w:pPr>
      <w:r w:rsidRPr="00266508">
        <w:rPr>
          <w:color w:val="000000" w:themeColor="text1"/>
        </w:rPr>
        <w:t>Álvarez, M. (2020). El IVA descontable en contratos de construcción. Ámbito Jurídico</w:t>
      </w:r>
      <w:r w:rsidR="006813CB" w:rsidRPr="00266508">
        <w:rPr>
          <w:color w:val="000000" w:themeColor="text1"/>
        </w:rPr>
        <w:t>.</w:t>
      </w:r>
      <w:r w:rsidR="00D01BEA" w:rsidRPr="00266508">
        <w:rPr>
          <w:color w:val="000000" w:themeColor="text1"/>
        </w:rPr>
        <w:t xml:space="preserve"> https://www.ambitojuridico.com/noticias/tributario/tributario-y-contable/iva-en-contratos-de-construccion-se-genera-sobre-la-parte</w:t>
      </w:r>
    </w:p>
    <w:p w14:paraId="58A0E7D8" w14:textId="40E2C3F2" w:rsidR="00DC3175" w:rsidRPr="00266508" w:rsidRDefault="00121D48" w:rsidP="003A095E">
      <w:pPr>
        <w:pStyle w:val="NormalWeb"/>
        <w:spacing w:before="100" w:after="100"/>
        <w:ind w:left="680"/>
        <w:jc w:val="left"/>
        <w:rPr>
          <w:rStyle w:val="Hipervnculo"/>
          <w:color w:val="000000" w:themeColor="text1"/>
          <w:u w:val="none"/>
        </w:rPr>
      </w:pPr>
      <w:r w:rsidRPr="00266508">
        <w:rPr>
          <w:color w:val="000000" w:themeColor="text1"/>
        </w:rPr>
        <w:t xml:space="preserve">American </w:t>
      </w:r>
      <w:proofErr w:type="spellStart"/>
      <w:r w:rsidRPr="00266508">
        <w:rPr>
          <w:color w:val="000000" w:themeColor="text1"/>
        </w:rPr>
        <w:t>Economic</w:t>
      </w:r>
      <w:proofErr w:type="spellEnd"/>
      <w:r w:rsidRPr="00266508">
        <w:rPr>
          <w:color w:val="000000" w:themeColor="text1"/>
        </w:rPr>
        <w:t xml:space="preserve"> </w:t>
      </w:r>
      <w:proofErr w:type="spellStart"/>
      <w:r w:rsidRPr="00266508">
        <w:rPr>
          <w:color w:val="000000" w:themeColor="text1"/>
        </w:rPr>
        <w:t>Association</w:t>
      </w:r>
      <w:proofErr w:type="spellEnd"/>
      <w:r w:rsidRPr="00266508">
        <w:rPr>
          <w:color w:val="000000" w:themeColor="text1"/>
        </w:rPr>
        <w:t xml:space="preserve">. (2020). </w:t>
      </w:r>
      <w:proofErr w:type="spellStart"/>
      <w:r w:rsidRPr="00266508">
        <w:rPr>
          <w:color w:val="000000" w:themeColor="text1"/>
        </w:rPr>
        <w:t>Does</w:t>
      </w:r>
      <w:proofErr w:type="spellEnd"/>
      <w:r w:rsidRPr="00266508">
        <w:rPr>
          <w:color w:val="000000" w:themeColor="text1"/>
        </w:rPr>
        <w:t xml:space="preserve"> </w:t>
      </w:r>
      <w:proofErr w:type="spellStart"/>
      <w:r w:rsidRPr="00266508">
        <w:rPr>
          <w:color w:val="000000" w:themeColor="text1"/>
        </w:rPr>
        <w:t>the</w:t>
      </w:r>
      <w:proofErr w:type="spellEnd"/>
      <w:r w:rsidRPr="00266508">
        <w:rPr>
          <w:color w:val="000000" w:themeColor="text1"/>
        </w:rPr>
        <w:t xml:space="preserve"> </w:t>
      </w:r>
      <w:proofErr w:type="spellStart"/>
      <w:r w:rsidRPr="00266508">
        <w:rPr>
          <w:color w:val="000000" w:themeColor="text1"/>
        </w:rPr>
        <w:t>Value-Added</w:t>
      </w:r>
      <w:proofErr w:type="spellEnd"/>
      <w:r w:rsidRPr="00266508">
        <w:rPr>
          <w:color w:val="000000" w:themeColor="text1"/>
        </w:rPr>
        <w:t xml:space="preserve"> </w:t>
      </w:r>
      <w:proofErr w:type="spellStart"/>
      <w:r w:rsidRPr="00266508">
        <w:rPr>
          <w:color w:val="000000" w:themeColor="text1"/>
        </w:rPr>
        <w:t>Tax</w:t>
      </w:r>
      <w:proofErr w:type="spellEnd"/>
      <w:r w:rsidRPr="00266508">
        <w:rPr>
          <w:color w:val="000000" w:themeColor="text1"/>
        </w:rPr>
        <w:t xml:space="preserve"> </w:t>
      </w:r>
      <w:proofErr w:type="spellStart"/>
      <w:r w:rsidRPr="00266508">
        <w:rPr>
          <w:color w:val="000000" w:themeColor="text1"/>
        </w:rPr>
        <w:t>Add</w:t>
      </w:r>
      <w:proofErr w:type="spellEnd"/>
      <w:r w:rsidRPr="00266508">
        <w:rPr>
          <w:color w:val="000000" w:themeColor="text1"/>
        </w:rPr>
        <w:t xml:space="preserve"> </w:t>
      </w:r>
      <w:proofErr w:type="spellStart"/>
      <w:r w:rsidRPr="00266508">
        <w:rPr>
          <w:color w:val="000000" w:themeColor="text1"/>
        </w:rPr>
        <w:t>Value</w:t>
      </w:r>
      <w:proofErr w:type="spellEnd"/>
      <w:r w:rsidRPr="00266508">
        <w:rPr>
          <w:color w:val="000000" w:themeColor="text1"/>
        </w:rPr>
        <w:t xml:space="preserve">? </w:t>
      </w:r>
      <w:proofErr w:type="spellStart"/>
      <w:r w:rsidRPr="00266508">
        <w:rPr>
          <w:color w:val="000000" w:themeColor="text1"/>
        </w:rPr>
        <w:t>Lessons</w:t>
      </w:r>
      <w:proofErr w:type="spellEnd"/>
      <w:r w:rsidRPr="00266508">
        <w:rPr>
          <w:color w:val="000000" w:themeColor="text1"/>
        </w:rPr>
        <w:t xml:space="preserve"> </w:t>
      </w:r>
      <w:proofErr w:type="spellStart"/>
      <w:r w:rsidRPr="00266508">
        <w:rPr>
          <w:color w:val="000000" w:themeColor="text1"/>
        </w:rPr>
        <w:t>Using</w:t>
      </w:r>
      <w:proofErr w:type="spellEnd"/>
      <w:r w:rsidRPr="00266508">
        <w:rPr>
          <w:color w:val="000000" w:themeColor="text1"/>
        </w:rPr>
        <w:t xml:space="preserve"> Administrative Data. </w:t>
      </w:r>
      <w:hyperlink r:id="rId13" w:history="1">
        <w:r w:rsidR="00DC3175" w:rsidRPr="00266508">
          <w:rPr>
            <w:rStyle w:val="Hipervnculo"/>
            <w:color w:val="000000" w:themeColor="text1"/>
            <w:u w:val="none"/>
          </w:rPr>
          <w:t>https://www.aeaweb.org</w:t>
        </w:r>
      </w:hyperlink>
      <w:r w:rsidRPr="00266508">
        <w:rPr>
          <w:color w:val="000000" w:themeColor="text1"/>
        </w:rPr>
        <w:t xml:space="preserve">  </w:t>
      </w:r>
      <w:hyperlink r:id="rId14" w:history="1">
        <w:r w:rsidRPr="00266508">
          <w:rPr>
            <w:rStyle w:val="Hipervnculo"/>
            <w:color w:val="000000" w:themeColor="text1"/>
            <w:u w:val="none"/>
          </w:rPr>
          <w:t>Artículo-AIU-.-Infraestructura-y-Desarrollo-2.pdf (beltranpardo.com)</w:t>
        </w:r>
      </w:hyperlink>
    </w:p>
    <w:p w14:paraId="6CCD33C5" w14:textId="5683EB9C" w:rsidR="00121D48" w:rsidRPr="00266508" w:rsidRDefault="00121D48" w:rsidP="003A095E">
      <w:pPr>
        <w:pStyle w:val="NormalWeb"/>
        <w:spacing w:before="100" w:after="100"/>
        <w:ind w:left="680"/>
        <w:jc w:val="left"/>
        <w:rPr>
          <w:color w:val="000000" w:themeColor="text1"/>
        </w:rPr>
      </w:pPr>
      <w:r w:rsidRPr="00266508">
        <w:rPr>
          <w:color w:val="000000" w:themeColor="text1"/>
        </w:rPr>
        <w:t>CARDONA. H (1996). Hacienda Pública. 4ta edición (págs. 16-22).</w:t>
      </w:r>
      <w:r w:rsidR="006813CB" w:rsidRPr="00266508">
        <w:rPr>
          <w:color w:val="000000" w:themeColor="text1"/>
        </w:rPr>
        <w:t xml:space="preserve"> </w:t>
      </w:r>
      <w:r w:rsidRPr="00266508">
        <w:rPr>
          <w:color w:val="000000" w:themeColor="text1"/>
        </w:rPr>
        <w:t>Editorial Temis, Bogotá Colombia.</w:t>
      </w:r>
    </w:p>
    <w:p w14:paraId="3D7E6899" w14:textId="1DF2B191" w:rsidR="00121D48" w:rsidRPr="00266508" w:rsidRDefault="00121D48" w:rsidP="003A095E">
      <w:pPr>
        <w:pStyle w:val="NormalWeb"/>
        <w:spacing w:before="100" w:after="100"/>
        <w:ind w:left="680"/>
        <w:jc w:val="left"/>
        <w:rPr>
          <w:color w:val="000000" w:themeColor="text1"/>
        </w:rPr>
      </w:pPr>
      <w:r w:rsidRPr="00266508">
        <w:rPr>
          <w:color w:val="000000" w:themeColor="text1"/>
        </w:rPr>
        <w:t>Ciudad</w:t>
      </w:r>
      <w:r w:rsidR="006813CB" w:rsidRPr="00266508">
        <w:rPr>
          <w:color w:val="000000" w:themeColor="text1"/>
        </w:rPr>
        <w:t xml:space="preserve"> Región</w:t>
      </w:r>
      <w:r w:rsidRPr="00266508">
        <w:rPr>
          <w:color w:val="000000" w:themeColor="text1"/>
        </w:rPr>
        <w:t xml:space="preserve">. (2022). </w:t>
      </w:r>
      <w:r w:rsidRPr="00266508">
        <w:rPr>
          <w:rStyle w:val="nfasis"/>
          <w:i w:val="0"/>
          <w:iCs w:val="0"/>
          <w:color w:val="000000" w:themeColor="text1"/>
        </w:rPr>
        <w:t>Evasión de IVA en materiales de construcción llega al medio billón de pesos</w:t>
      </w:r>
      <w:r w:rsidRPr="00266508">
        <w:rPr>
          <w:color w:val="000000" w:themeColor="text1"/>
        </w:rPr>
        <w:t xml:space="preserve">. Recuperado de </w:t>
      </w:r>
      <w:hyperlink r:id="rId15" w:tgtFrame="_new" w:history="1">
        <w:r w:rsidRPr="00266508">
          <w:rPr>
            <w:rStyle w:val="Hipervnculo"/>
            <w:color w:val="000000" w:themeColor="text1"/>
            <w:u w:val="none"/>
          </w:rPr>
          <w:t>CiudadRegion</w:t>
        </w:r>
      </w:hyperlink>
      <w:r w:rsidRPr="00266508">
        <w:rPr>
          <w:color w:val="000000" w:themeColor="text1"/>
        </w:rPr>
        <w:t>.</w:t>
      </w:r>
      <w:r w:rsidR="00DC3175" w:rsidRPr="00266508">
        <w:rPr>
          <w:color w:val="000000" w:themeColor="text1"/>
        </w:rPr>
        <w:t xml:space="preserve"> https://ciudadregion.com/economia/evasion-de-iva-en-materiales-de-construccion-llega-al-medio-billon-de-pesos</w:t>
      </w:r>
    </w:p>
    <w:p w14:paraId="6ADBB2B4" w14:textId="571F0FD3" w:rsidR="00121D48" w:rsidRPr="00266508" w:rsidRDefault="00121D48" w:rsidP="003A095E">
      <w:pPr>
        <w:pStyle w:val="NormalWeb"/>
        <w:spacing w:before="100" w:after="100"/>
        <w:ind w:left="680"/>
        <w:jc w:val="left"/>
        <w:rPr>
          <w:color w:val="000000" w:themeColor="text1"/>
        </w:rPr>
      </w:pPr>
      <w:r w:rsidRPr="00266508">
        <w:rPr>
          <w:color w:val="000000" w:themeColor="text1"/>
        </w:rPr>
        <w:t>Contraloría General de La República. (29 de septiembre de 2011). Concepto 80112-EE75841: Contratación Estatal - x de Obra - A.I.U.</w:t>
      </w:r>
    </w:p>
    <w:p w14:paraId="7BE234B7" w14:textId="4E06735F" w:rsidR="008F56C1" w:rsidRPr="00266508" w:rsidRDefault="00121D48" w:rsidP="003A095E">
      <w:pPr>
        <w:pStyle w:val="NormalWeb"/>
        <w:spacing w:before="100" w:after="100"/>
        <w:ind w:left="680"/>
        <w:jc w:val="left"/>
        <w:rPr>
          <w:color w:val="000000" w:themeColor="text1"/>
        </w:rPr>
      </w:pPr>
      <w:r w:rsidRPr="00266508">
        <w:rPr>
          <w:color w:val="000000" w:themeColor="text1"/>
        </w:rPr>
        <w:t>Corredor Alejo, J. O. (2020). Derecho tributario usual: lecciones concretas.</w:t>
      </w:r>
    </w:p>
    <w:p w14:paraId="51430769" w14:textId="12466278" w:rsidR="002244AB" w:rsidRPr="00266508" w:rsidRDefault="00121D48" w:rsidP="003A095E">
      <w:pPr>
        <w:pStyle w:val="NormalWeb"/>
        <w:spacing w:before="100" w:after="100"/>
        <w:ind w:left="680"/>
        <w:jc w:val="left"/>
        <w:rPr>
          <w:color w:val="000000" w:themeColor="text1"/>
        </w:rPr>
      </w:pPr>
      <w:r w:rsidRPr="00266508">
        <w:rPr>
          <w:rStyle w:val="nfasis"/>
          <w:i w:val="0"/>
          <w:iCs w:val="0"/>
          <w:color w:val="000000" w:themeColor="text1"/>
        </w:rPr>
        <w:t xml:space="preserve">Oficio 27292 </w:t>
      </w:r>
      <w:r w:rsidR="006813CB" w:rsidRPr="00266508">
        <w:rPr>
          <w:rStyle w:val="nfasis"/>
          <w:i w:val="0"/>
          <w:iCs w:val="0"/>
          <w:color w:val="000000" w:themeColor="text1"/>
        </w:rPr>
        <w:t>(</w:t>
      </w:r>
      <w:r w:rsidRPr="00266508">
        <w:rPr>
          <w:rStyle w:val="nfasis"/>
          <w:i w:val="0"/>
          <w:iCs w:val="0"/>
          <w:color w:val="000000" w:themeColor="text1"/>
        </w:rPr>
        <w:t>2017</w:t>
      </w:r>
      <w:r w:rsidR="006813CB" w:rsidRPr="00266508">
        <w:rPr>
          <w:rStyle w:val="nfasis"/>
          <w:i w:val="0"/>
          <w:iCs w:val="0"/>
          <w:color w:val="000000" w:themeColor="text1"/>
        </w:rPr>
        <w:t>, 8 de octubre)</w:t>
      </w:r>
      <w:r w:rsidRPr="00266508">
        <w:rPr>
          <w:i/>
          <w:iCs/>
          <w:color w:val="000000" w:themeColor="text1"/>
        </w:rPr>
        <w:t>.</w:t>
      </w:r>
      <w:r w:rsidRPr="00266508">
        <w:rPr>
          <w:color w:val="000000" w:themeColor="text1"/>
        </w:rPr>
        <w:t xml:space="preserve"> </w:t>
      </w:r>
      <w:r w:rsidR="00DC3175" w:rsidRPr="00266508">
        <w:rPr>
          <w:color w:val="000000" w:themeColor="text1"/>
        </w:rPr>
        <w:t>Dirección</w:t>
      </w:r>
      <w:r w:rsidR="006813CB" w:rsidRPr="00266508">
        <w:rPr>
          <w:color w:val="000000" w:themeColor="text1"/>
        </w:rPr>
        <w:t xml:space="preserve"> de Impuestos y Aduanas Nacionales</w:t>
      </w:r>
      <w:r w:rsidR="002244AB" w:rsidRPr="00266508">
        <w:rPr>
          <w:color w:val="000000" w:themeColor="text1"/>
        </w:rPr>
        <w:t>.</w:t>
      </w:r>
    </w:p>
    <w:p w14:paraId="6B0FB0D9" w14:textId="5B93BEAA" w:rsidR="008F56C1" w:rsidRPr="00266508" w:rsidRDefault="00572DBF" w:rsidP="003A095E">
      <w:pPr>
        <w:pStyle w:val="NormalWeb"/>
        <w:spacing w:before="100" w:after="100"/>
        <w:ind w:left="680"/>
        <w:jc w:val="left"/>
        <w:rPr>
          <w:color w:val="000000" w:themeColor="text1"/>
        </w:rPr>
      </w:pPr>
      <w:hyperlink r:id="rId16" w:history="1">
        <w:r w:rsidR="002244AB" w:rsidRPr="00266508">
          <w:rPr>
            <w:rStyle w:val="Hipervnculo"/>
            <w:color w:val="000000" w:themeColor="text1"/>
            <w:u w:val="none"/>
          </w:rPr>
          <w:t>https://normograma.dian.gov.co/dian/compilacion/docs/oficio_dian_27292_2017.htm</w:t>
        </w:r>
      </w:hyperlink>
    </w:p>
    <w:p w14:paraId="0FA37EA0" w14:textId="3A359A03" w:rsidR="00121D48" w:rsidRPr="00266508" w:rsidRDefault="00121D48" w:rsidP="003A095E">
      <w:pPr>
        <w:pStyle w:val="NormalWeb"/>
        <w:spacing w:before="100" w:after="100"/>
        <w:ind w:left="680"/>
        <w:jc w:val="left"/>
        <w:rPr>
          <w:color w:val="000000" w:themeColor="text1"/>
        </w:rPr>
      </w:pPr>
      <w:r w:rsidRPr="00266508">
        <w:rPr>
          <w:rStyle w:val="nfasis"/>
          <w:i w:val="0"/>
          <w:iCs w:val="0"/>
          <w:color w:val="000000" w:themeColor="text1"/>
        </w:rPr>
        <w:t xml:space="preserve">Oficio 6456 de </w:t>
      </w:r>
      <w:r w:rsidR="002244AB" w:rsidRPr="00266508">
        <w:rPr>
          <w:rStyle w:val="nfasis"/>
          <w:i w:val="0"/>
          <w:iCs w:val="0"/>
          <w:color w:val="000000" w:themeColor="text1"/>
        </w:rPr>
        <w:t>(</w:t>
      </w:r>
      <w:r w:rsidRPr="00266508">
        <w:rPr>
          <w:rStyle w:val="nfasis"/>
          <w:i w:val="0"/>
          <w:iCs w:val="0"/>
          <w:color w:val="000000" w:themeColor="text1"/>
        </w:rPr>
        <w:t>2018</w:t>
      </w:r>
      <w:r w:rsidR="002244AB" w:rsidRPr="00266508">
        <w:rPr>
          <w:rStyle w:val="nfasis"/>
          <w:i w:val="0"/>
          <w:iCs w:val="0"/>
          <w:color w:val="000000" w:themeColor="text1"/>
        </w:rPr>
        <w:t>, 15 de marzo)</w:t>
      </w:r>
      <w:r w:rsidRPr="00266508">
        <w:rPr>
          <w:i/>
          <w:iCs/>
          <w:color w:val="000000" w:themeColor="text1"/>
        </w:rPr>
        <w:t>.</w:t>
      </w:r>
      <w:r w:rsidRPr="00266508">
        <w:rPr>
          <w:color w:val="000000" w:themeColor="text1"/>
        </w:rPr>
        <w:t xml:space="preserve"> </w:t>
      </w:r>
      <w:r w:rsidR="00DC3175" w:rsidRPr="00266508">
        <w:rPr>
          <w:color w:val="000000" w:themeColor="text1"/>
        </w:rPr>
        <w:t>Dirección</w:t>
      </w:r>
      <w:r w:rsidR="002244AB" w:rsidRPr="00266508">
        <w:rPr>
          <w:color w:val="000000" w:themeColor="text1"/>
        </w:rPr>
        <w:t xml:space="preserve"> de Impuestos y Aduanas Nacionales.</w:t>
      </w:r>
    </w:p>
    <w:p w14:paraId="56C57CD9" w14:textId="744D7BD0" w:rsidR="002244AB" w:rsidRPr="00266508" w:rsidRDefault="002244AB" w:rsidP="003A095E">
      <w:pPr>
        <w:pStyle w:val="NormalWeb"/>
        <w:spacing w:before="100" w:after="100"/>
        <w:ind w:left="680"/>
        <w:jc w:val="left"/>
        <w:rPr>
          <w:color w:val="000000" w:themeColor="text1"/>
        </w:rPr>
      </w:pPr>
      <w:r w:rsidRPr="00266508">
        <w:rPr>
          <w:color w:val="000000" w:themeColor="text1"/>
        </w:rPr>
        <w:t>https://normograma.dian.gov.co/dian/compilacion/docs/oficio_dian_6456_2018.htm</w:t>
      </w:r>
    </w:p>
    <w:p w14:paraId="0E3D82BD" w14:textId="5DAEF681" w:rsidR="00121D48" w:rsidRPr="00266508" w:rsidRDefault="00121D48" w:rsidP="003A095E">
      <w:pPr>
        <w:pStyle w:val="NormalWeb"/>
        <w:spacing w:before="100" w:after="100"/>
        <w:ind w:left="680"/>
        <w:jc w:val="left"/>
        <w:rPr>
          <w:color w:val="000000" w:themeColor="text1"/>
        </w:rPr>
      </w:pPr>
      <w:r w:rsidRPr="00266508">
        <w:rPr>
          <w:rStyle w:val="nfasis"/>
          <w:i w:val="0"/>
          <w:iCs w:val="0"/>
          <w:color w:val="000000" w:themeColor="text1"/>
        </w:rPr>
        <w:t xml:space="preserve">Oficio 0959 </w:t>
      </w:r>
      <w:r w:rsidR="002244AB" w:rsidRPr="00266508">
        <w:rPr>
          <w:rStyle w:val="nfasis"/>
          <w:i w:val="0"/>
          <w:iCs w:val="0"/>
          <w:color w:val="000000" w:themeColor="text1"/>
        </w:rPr>
        <w:t>(</w:t>
      </w:r>
      <w:r w:rsidRPr="00266508">
        <w:rPr>
          <w:rStyle w:val="nfasis"/>
          <w:i w:val="0"/>
          <w:iCs w:val="0"/>
          <w:color w:val="000000" w:themeColor="text1"/>
        </w:rPr>
        <w:t>2019</w:t>
      </w:r>
      <w:r w:rsidR="002244AB" w:rsidRPr="00266508">
        <w:rPr>
          <w:rStyle w:val="nfasis"/>
          <w:i w:val="0"/>
          <w:iCs w:val="0"/>
          <w:color w:val="000000" w:themeColor="text1"/>
        </w:rPr>
        <w:t>, enero 16)</w:t>
      </w:r>
      <w:r w:rsidRPr="00266508">
        <w:rPr>
          <w:i/>
          <w:iCs/>
          <w:color w:val="000000" w:themeColor="text1"/>
        </w:rPr>
        <w:t>.</w:t>
      </w:r>
      <w:r w:rsidRPr="00266508">
        <w:rPr>
          <w:color w:val="000000" w:themeColor="text1"/>
        </w:rPr>
        <w:t xml:space="preserve"> </w:t>
      </w:r>
      <w:r w:rsidR="00DC3175" w:rsidRPr="00266508">
        <w:rPr>
          <w:color w:val="000000" w:themeColor="text1"/>
        </w:rPr>
        <w:t>Dirección</w:t>
      </w:r>
      <w:r w:rsidR="002244AB" w:rsidRPr="00266508">
        <w:rPr>
          <w:color w:val="000000" w:themeColor="text1"/>
        </w:rPr>
        <w:t xml:space="preserve"> de Impuestos y Aduanas Nacionales.</w:t>
      </w:r>
    </w:p>
    <w:p w14:paraId="4D965AD4" w14:textId="1833574C" w:rsidR="00121D48" w:rsidRPr="006F063A" w:rsidRDefault="002244AB" w:rsidP="003A095E">
      <w:pPr>
        <w:pStyle w:val="NormalWeb"/>
        <w:spacing w:before="100" w:after="100"/>
        <w:ind w:left="680"/>
        <w:jc w:val="left"/>
        <w:rPr>
          <w:color w:val="000000" w:themeColor="text1"/>
          <w:highlight w:val="cyan"/>
        </w:rPr>
      </w:pPr>
      <w:r w:rsidRPr="00266508">
        <w:rPr>
          <w:color w:val="000000" w:themeColor="text1"/>
        </w:rPr>
        <w:t>https://normograma.dian.gov.co/dian/compilacion/docs/oficio_dian_0959_2019.htm</w:t>
      </w:r>
    </w:p>
    <w:p w14:paraId="0F2E83DD" w14:textId="17D57DF2" w:rsidR="00DC3175" w:rsidRPr="00266508" w:rsidRDefault="00121D48" w:rsidP="003A095E">
      <w:pPr>
        <w:pStyle w:val="NormalWeb"/>
        <w:spacing w:before="100" w:after="100"/>
        <w:ind w:left="680"/>
        <w:jc w:val="left"/>
        <w:rPr>
          <w:color w:val="000000" w:themeColor="text1"/>
        </w:rPr>
      </w:pPr>
      <w:r w:rsidRPr="00266508">
        <w:rPr>
          <w:color w:val="000000" w:themeColor="text1"/>
        </w:rPr>
        <w:t xml:space="preserve">Diario del Huila. (2022). </w:t>
      </w:r>
      <w:r w:rsidRPr="006F063A">
        <w:rPr>
          <w:rStyle w:val="nfasis"/>
          <w:i w:val="0"/>
          <w:iCs w:val="0"/>
          <w:color w:val="000000" w:themeColor="text1"/>
        </w:rPr>
        <w:t>Crece la cifra en evasión de impuestos en el sector de la construcción en Colombia</w:t>
      </w:r>
      <w:r w:rsidRPr="00266508">
        <w:rPr>
          <w:color w:val="000000" w:themeColor="text1"/>
        </w:rPr>
        <w:t xml:space="preserve">. Recuperado de </w:t>
      </w:r>
      <w:hyperlink r:id="rId17" w:tgtFrame="_new" w:history="1">
        <w:r w:rsidRPr="00266508">
          <w:rPr>
            <w:rStyle w:val="Hipervnculo"/>
            <w:color w:val="000000" w:themeColor="text1"/>
            <w:u w:val="none"/>
          </w:rPr>
          <w:t>Diario del Huila</w:t>
        </w:r>
      </w:hyperlink>
      <w:r w:rsidRPr="00266508">
        <w:rPr>
          <w:color w:val="000000" w:themeColor="text1"/>
        </w:rPr>
        <w:t>.</w:t>
      </w:r>
      <w:r w:rsidR="00DC3175" w:rsidRPr="00266508">
        <w:rPr>
          <w:color w:val="000000" w:themeColor="text1"/>
        </w:rPr>
        <w:t xml:space="preserve"> </w:t>
      </w:r>
      <w:hyperlink r:id="rId18" w:history="1">
        <w:r w:rsidR="00DC3175" w:rsidRPr="00266508">
          <w:rPr>
            <w:rStyle w:val="Hipervnculo"/>
            <w:color w:val="000000" w:themeColor="text1"/>
            <w:u w:val="none"/>
          </w:rPr>
          <w:t>https://diariodelhuila.com/crece-la-cifra-en-evasion-de-impuestos-en-el-sector-de-la-construccion-en-colombia/</w:t>
        </w:r>
      </w:hyperlink>
    </w:p>
    <w:p w14:paraId="739BCE94" w14:textId="095B8A4E" w:rsidR="00DC3175" w:rsidRPr="00266508" w:rsidRDefault="00121D48" w:rsidP="003A095E">
      <w:pPr>
        <w:pStyle w:val="NormalWeb"/>
        <w:spacing w:before="100" w:after="100"/>
        <w:ind w:left="680"/>
        <w:jc w:val="left"/>
        <w:rPr>
          <w:color w:val="000000" w:themeColor="text1"/>
        </w:rPr>
      </w:pPr>
      <w:r w:rsidRPr="00266508">
        <w:rPr>
          <w:color w:val="000000" w:themeColor="text1"/>
        </w:rPr>
        <w:t>García, A. (2018).</w:t>
      </w:r>
      <w:r w:rsidRPr="003A095E">
        <w:rPr>
          <w:color w:val="000000" w:themeColor="text1"/>
        </w:rPr>
        <w:t xml:space="preserve"> </w:t>
      </w:r>
      <w:r w:rsidRPr="003A095E">
        <w:rPr>
          <w:rStyle w:val="nfasis"/>
          <w:i w:val="0"/>
          <w:iCs w:val="0"/>
          <w:color w:val="000000" w:themeColor="text1"/>
        </w:rPr>
        <w:t>Cálculo del AIU en Proyectos de Construcción</w:t>
      </w:r>
      <w:r w:rsidRPr="003A095E">
        <w:rPr>
          <w:i/>
          <w:iCs/>
          <w:color w:val="000000" w:themeColor="text1"/>
        </w:rPr>
        <w:t>.</w:t>
      </w:r>
      <w:r w:rsidRPr="00266508">
        <w:rPr>
          <w:color w:val="000000" w:themeColor="text1"/>
        </w:rPr>
        <w:t xml:space="preserve"> Gestión Legal Colombia. Recuperado de </w:t>
      </w:r>
      <w:hyperlink r:id="rId19" w:tgtFrame="_new" w:history="1">
        <w:r w:rsidRPr="00266508">
          <w:rPr>
            <w:rStyle w:val="Hipervnculo"/>
            <w:color w:val="000000" w:themeColor="text1"/>
            <w:u w:val="none"/>
          </w:rPr>
          <w:t>Gestión Legal Colombia</w:t>
        </w:r>
      </w:hyperlink>
      <w:r w:rsidRPr="00266508">
        <w:rPr>
          <w:color w:val="000000" w:themeColor="text1"/>
        </w:rPr>
        <w:t>.</w:t>
      </w:r>
      <w:r w:rsidR="00DC3175" w:rsidRPr="00266508">
        <w:rPr>
          <w:color w:val="000000" w:themeColor="text1"/>
        </w:rPr>
        <w:t xml:space="preserve"> </w:t>
      </w:r>
      <w:hyperlink r:id="rId20" w:history="1">
        <w:r w:rsidR="00DC3175" w:rsidRPr="00266508">
          <w:rPr>
            <w:rStyle w:val="Hipervnculo"/>
            <w:color w:val="000000" w:themeColor="text1"/>
            <w:u w:val="none"/>
          </w:rPr>
          <w:t>https://www.gestionlegalcolombia.com/blog/cuenta-de-compensacion</w:t>
        </w:r>
      </w:hyperlink>
    </w:p>
    <w:p w14:paraId="2F23DCC7" w14:textId="660282A9" w:rsidR="008F56C1" w:rsidRPr="00266508" w:rsidRDefault="00121D48" w:rsidP="003A095E">
      <w:pPr>
        <w:pStyle w:val="NormalWeb"/>
        <w:spacing w:before="100" w:after="100"/>
        <w:ind w:left="680"/>
        <w:jc w:val="left"/>
        <w:rPr>
          <w:color w:val="000000" w:themeColor="text1"/>
        </w:rPr>
      </w:pPr>
      <w:r w:rsidRPr="00266508">
        <w:rPr>
          <w:color w:val="000000" w:themeColor="text1"/>
        </w:rPr>
        <w:t xml:space="preserve">González, L. (2020). </w:t>
      </w:r>
      <w:r w:rsidRPr="003A095E">
        <w:rPr>
          <w:color w:val="000000" w:themeColor="text1"/>
        </w:rPr>
        <w:t>Contratos de construcción y el IVA.</w:t>
      </w:r>
      <w:r w:rsidRPr="00266508">
        <w:rPr>
          <w:color w:val="000000" w:themeColor="text1"/>
        </w:rPr>
        <w:t xml:space="preserve"> Editorial Jurídica.</w:t>
      </w:r>
    </w:p>
    <w:p w14:paraId="6B21F666" w14:textId="07F1E59E" w:rsidR="008F56C1" w:rsidRPr="00266508" w:rsidRDefault="00121D48" w:rsidP="003A095E">
      <w:pPr>
        <w:pStyle w:val="NormalWeb"/>
        <w:spacing w:before="100" w:after="100"/>
        <w:ind w:left="680"/>
        <w:jc w:val="left"/>
        <w:rPr>
          <w:color w:val="000000" w:themeColor="text1"/>
        </w:rPr>
      </w:pPr>
      <w:r w:rsidRPr="00266508">
        <w:rPr>
          <w:color w:val="000000" w:themeColor="text1"/>
        </w:rPr>
        <w:t xml:space="preserve">Granados Lopera, C. A. (2015). </w:t>
      </w:r>
      <w:r w:rsidRPr="003A095E">
        <w:rPr>
          <w:rStyle w:val="nfasis"/>
          <w:i w:val="0"/>
          <w:iCs w:val="0"/>
          <w:color w:val="000000" w:themeColor="text1"/>
        </w:rPr>
        <w:t>AIU Base Gravable o Fuente de Evasión de Impuestos</w:t>
      </w:r>
      <w:r w:rsidRPr="00266508">
        <w:rPr>
          <w:color w:val="000000" w:themeColor="text1"/>
        </w:rPr>
        <w:t xml:space="preserve">. Universidad de Bogotá Jorge Tadeo Lozano, Facultad de Ciencias Económicas y Administrativas. Recuperado de </w:t>
      </w:r>
      <w:hyperlink w:history="1">
        <w:r w:rsidRPr="00266508">
          <w:rPr>
            <w:rStyle w:val="Hipervnculo"/>
            <w:color w:val="000000" w:themeColor="text1"/>
            <w:u w:val="none"/>
          </w:rPr>
          <w:t>AIU Base Gravable o Fuente de Evasión de Impuestos</w:t>
        </w:r>
      </w:hyperlink>
      <w:r w:rsidRPr="00266508">
        <w:rPr>
          <w:color w:val="000000" w:themeColor="text1"/>
        </w:rPr>
        <w:t>.</w:t>
      </w:r>
      <w:r w:rsidR="00DC3175" w:rsidRPr="00266508">
        <w:rPr>
          <w:color w:val="000000" w:themeColor="text1"/>
        </w:rPr>
        <w:t xml:space="preserve"> </w:t>
      </w:r>
      <w:hyperlink r:id="rId21" w:history="1">
        <w:r w:rsidR="008F56C1" w:rsidRPr="00266508">
          <w:rPr>
            <w:rStyle w:val="Hipervnculo"/>
            <w:color w:val="000000" w:themeColor="text1"/>
            <w:u w:val="none"/>
          </w:rPr>
          <w:t>https://expeditiorepositorio.utadeo.edu.co/bitstream/handle/20.500.12010/2514/AIU%20Base%20Gravable%20o%20Fuente%20de%20Evasi%C3%B3n%20de%20Impuestos.pdf?sequence=1&amp;isAllowed=y</w:t>
        </w:r>
      </w:hyperlink>
      <w:r w:rsidR="00DC3175" w:rsidRPr="00266508">
        <w:rPr>
          <w:color w:val="000000" w:themeColor="text1"/>
        </w:rPr>
        <w:t>.</w:t>
      </w:r>
    </w:p>
    <w:p w14:paraId="1ED5D4EA" w14:textId="13FDBABF" w:rsidR="008F56C1" w:rsidRPr="00266508" w:rsidRDefault="00121D48" w:rsidP="003A095E">
      <w:pPr>
        <w:pStyle w:val="NormalWeb"/>
        <w:spacing w:before="100" w:after="100"/>
        <w:ind w:left="680"/>
        <w:jc w:val="left"/>
        <w:rPr>
          <w:color w:val="000000" w:themeColor="text1"/>
        </w:rPr>
      </w:pPr>
      <w:r w:rsidRPr="00266508">
        <w:rPr>
          <w:color w:val="000000" w:themeColor="text1"/>
        </w:rPr>
        <w:lastRenderedPageBreak/>
        <w:t xml:space="preserve">Hernández, J. (2018). </w:t>
      </w:r>
      <w:r w:rsidRPr="003A095E">
        <w:rPr>
          <w:color w:val="000000" w:themeColor="text1"/>
        </w:rPr>
        <w:t>El IVA en los contratos de construcción</w:t>
      </w:r>
      <w:r w:rsidRPr="00266508">
        <w:rPr>
          <w:color w:val="000000" w:themeColor="text1"/>
        </w:rPr>
        <w:t>. Revista Tributaria.</w:t>
      </w:r>
    </w:p>
    <w:p w14:paraId="5645FD30" w14:textId="1934A72A" w:rsidR="008F56C1" w:rsidRPr="00266508" w:rsidRDefault="00121D48" w:rsidP="003A095E">
      <w:pPr>
        <w:pStyle w:val="NormalWeb"/>
        <w:spacing w:before="100" w:after="100"/>
        <w:ind w:left="680"/>
        <w:jc w:val="left"/>
        <w:rPr>
          <w:color w:val="000000" w:themeColor="text1"/>
        </w:rPr>
      </w:pPr>
      <w:r w:rsidRPr="00266508">
        <w:rPr>
          <w:color w:val="000000" w:themeColor="text1"/>
        </w:rPr>
        <w:t xml:space="preserve">Hernández, M. (2024). </w:t>
      </w:r>
      <w:r w:rsidRPr="003A095E">
        <w:rPr>
          <w:rStyle w:val="nfasis"/>
          <w:i w:val="0"/>
          <w:iCs w:val="0"/>
          <w:color w:val="000000" w:themeColor="text1"/>
        </w:rPr>
        <w:t>Detrás del andamio: la estructura del sector de la construcción en Colombia</w:t>
      </w:r>
      <w:r w:rsidRPr="00266508">
        <w:rPr>
          <w:color w:val="000000" w:themeColor="text1"/>
        </w:rPr>
        <w:t xml:space="preserve">. BBVA </w:t>
      </w:r>
      <w:proofErr w:type="spellStart"/>
      <w:r w:rsidRPr="00266508">
        <w:rPr>
          <w:color w:val="000000" w:themeColor="text1"/>
        </w:rPr>
        <w:t>Research</w:t>
      </w:r>
      <w:proofErr w:type="spellEnd"/>
      <w:r w:rsidRPr="00266508">
        <w:rPr>
          <w:color w:val="000000" w:themeColor="text1"/>
        </w:rPr>
        <w:t xml:space="preserve">. Recuperado de </w:t>
      </w:r>
      <w:hyperlink r:id="rId22" w:tgtFrame="_new" w:history="1">
        <w:r w:rsidRPr="00266508">
          <w:rPr>
            <w:rStyle w:val="Hipervnculo"/>
            <w:color w:val="000000" w:themeColor="text1"/>
            <w:u w:val="none"/>
          </w:rPr>
          <w:t>BBVA Research</w:t>
        </w:r>
      </w:hyperlink>
      <w:r w:rsidRPr="00266508">
        <w:rPr>
          <w:color w:val="000000" w:themeColor="text1"/>
        </w:rPr>
        <w:t>.</w:t>
      </w:r>
      <w:r w:rsidR="00DC3175" w:rsidRPr="00266508">
        <w:rPr>
          <w:color w:val="000000" w:themeColor="text1"/>
        </w:rPr>
        <w:t xml:space="preserve"> </w:t>
      </w:r>
      <w:hyperlink r:id="rId23" w:history="1">
        <w:r w:rsidR="008F56C1" w:rsidRPr="00266508">
          <w:rPr>
            <w:rStyle w:val="Hipervnculo"/>
            <w:color w:val="000000" w:themeColor="text1"/>
            <w:u w:val="none"/>
          </w:rPr>
          <w:t>https://www.bbvaresearch.com/publicaciones/colombia-detras-del-andamio-la-estructura-del-sector-de-la-construccion-en-colombia/</w:t>
        </w:r>
      </w:hyperlink>
    </w:p>
    <w:p w14:paraId="2210853D" w14:textId="2E6E01B3" w:rsidR="002244AB" w:rsidRPr="00266508" w:rsidRDefault="00121D48" w:rsidP="003A095E">
      <w:pPr>
        <w:pStyle w:val="NormalWeb"/>
        <w:spacing w:before="100" w:after="100"/>
        <w:ind w:left="680"/>
        <w:jc w:val="left"/>
        <w:rPr>
          <w:color w:val="000000" w:themeColor="text1"/>
        </w:rPr>
      </w:pPr>
      <w:r w:rsidRPr="00266508">
        <w:rPr>
          <w:color w:val="000000" w:themeColor="text1"/>
        </w:rPr>
        <w:t xml:space="preserve">Herrera, Laura. (2020). </w:t>
      </w:r>
      <w:r w:rsidRPr="003A095E">
        <w:rPr>
          <w:rStyle w:val="nfasis"/>
          <w:i w:val="0"/>
          <w:iCs w:val="0"/>
          <w:color w:val="000000" w:themeColor="text1"/>
        </w:rPr>
        <w:t>AIU, Qué es y Cómo se Calcula</w:t>
      </w:r>
      <w:r w:rsidRPr="00266508">
        <w:rPr>
          <w:color w:val="000000" w:themeColor="text1"/>
        </w:rPr>
        <w:t xml:space="preserve">. Herrera y Asociados. Recuperado de </w:t>
      </w:r>
      <w:hyperlink r:id="rId24" w:tgtFrame="_new" w:history="1">
        <w:r w:rsidRPr="00266508">
          <w:rPr>
            <w:rStyle w:val="Hipervnculo"/>
            <w:color w:val="000000" w:themeColor="text1"/>
            <w:u w:val="none"/>
          </w:rPr>
          <w:t>Herrera y Asociados</w:t>
        </w:r>
      </w:hyperlink>
      <w:r w:rsidRPr="00266508">
        <w:rPr>
          <w:color w:val="000000" w:themeColor="text1"/>
        </w:rPr>
        <w:t>.</w:t>
      </w:r>
      <w:r w:rsidR="00DC3175" w:rsidRPr="00266508">
        <w:rPr>
          <w:color w:val="000000" w:themeColor="text1"/>
        </w:rPr>
        <w:t xml:space="preserve"> https://herreraasociados.co/2020/11/18/aiu-que-es-y-como-se-calcula/</w:t>
      </w:r>
    </w:p>
    <w:p w14:paraId="5E750C60" w14:textId="4A758323" w:rsidR="002244AB" w:rsidRPr="00266508" w:rsidRDefault="00121D48" w:rsidP="003A095E">
      <w:pPr>
        <w:pStyle w:val="NormalWeb"/>
        <w:spacing w:before="100" w:after="100"/>
        <w:ind w:left="680"/>
        <w:jc w:val="left"/>
        <w:rPr>
          <w:color w:val="000000" w:themeColor="text1"/>
        </w:rPr>
      </w:pPr>
      <w:proofErr w:type="spellStart"/>
      <w:r w:rsidRPr="00266508">
        <w:rPr>
          <w:color w:val="000000" w:themeColor="text1"/>
        </w:rPr>
        <w:t>Investopedia</w:t>
      </w:r>
      <w:proofErr w:type="spellEnd"/>
      <w:r w:rsidRPr="00266508">
        <w:rPr>
          <w:color w:val="000000" w:themeColor="text1"/>
        </w:rPr>
        <w:t xml:space="preserve">. (2023). </w:t>
      </w:r>
      <w:proofErr w:type="spellStart"/>
      <w:r w:rsidRPr="00266508">
        <w:rPr>
          <w:color w:val="000000" w:themeColor="text1"/>
        </w:rPr>
        <w:t>What</w:t>
      </w:r>
      <w:proofErr w:type="spellEnd"/>
      <w:r w:rsidRPr="00266508">
        <w:rPr>
          <w:color w:val="000000" w:themeColor="text1"/>
        </w:rPr>
        <w:t xml:space="preserve"> </w:t>
      </w:r>
      <w:proofErr w:type="spellStart"/>
      <w:r w:rsidRPr="00266508">
        <w:rPr>
          <w:color w:val="000000" w:themeColor="text1"/>
        </w:rPr>
        <w:t>Is</w:t>
      </w:r>
      <w:proofErr w:type="spellEnd"/>
      <w:r w:rsidRPr="00266508">
        <w:rPr>
          <w:color w:val="000000" w:themeColor="text1"/>
        </w:rPr>
        <w:t xml:space="preserve"> a </w:t>
      </w:r>
      <w:proofErr w:type="spellStart"/>
      <w:r w:rsidRPr="00266508">
        <w:rPr>
          <w:color w:val="000000" w:themeColor="text1"/>
        </w:rPr>
        <w:t>Value-Added</w:t>
      </w:r>
      <w:proofErr w:type="spellEnd"/>
      <w:r w:rsidRPr="00266508">
        <w:rPr>
          <w:color w:val="000000" w:themeColor="text1"/>
        </w:rPr>
        <w:t xml:space="preserve"> </w:t>
      </w:r>
      <w:proofErr w:type="spellStart"/>
      <w:r w:rsidRPr="00266508">
        <w:rPr>
          <w:color w:val="000000" w:themeColor="text1"/>
        </w:rPr>
        <w:t>Tax</w:t>
      </w:r>
      <w:proofErr w:type="spellEnd"/>
      <w:r w:rsidRPr="00266508">
        <w:rPr>
          <w:color w:val="000000" w:themeColor="text1"/>
        </w:rPr>
        <w:t xml:space="preserve"> (VAT)? Recuperado de </w:t>
      </w:r>
      <w:hyperlink r:id="rId25" w:tgtFrame="_new" w:history="1">
        <w:r w:rsidRPr="00266508">
          <w:rPr>
            <w:rStyle w:val="Hipervnculo"/>
            <w:color w:val="000000" w:themeColor="text1"/>
            <w:u w:val="none"/>
          </w:rPr>
          <w:t>https://www.investopedia.com</w:t>
        </w:r>
      </w:hyperlink>
      <w:r w:rsidR="00DC3175" w:rsidRPr="00266508">
        <w:rPr>
          <w:rStyle w:val="Hipervnculo"/>
          <w:color w:val="000000" w:themeColor="text1"/>
          <w:u w:val="none"/>
        </w:rPr>
        <w:t>. https://www.investopedia.com/terms/v/valueaddedtax.asp</w:t>
      </w:r>
    </w:p>
    <w:p w14:paraId="0689783A" w14:textId="3F9ECEEF" w:rsidR="002244AB" w:rsidRPr="00266508" w:rsidRDefault="00121D48" w:rsidP="003A095E">
      <w:pPr>
        <w:pStyle w:val="NormalWeb"/>
        <w:spacing w:before="100" w:after="100"/>
        <w:ind w:left="680"/>
        <w:jc w:val="left"/>
        <w:rPr>
          <w:color w:val="000000" w:themeColor="text1"/>
        </w:rPr>
      </w:pPr>
      <w:proofErr w:type="spellStart"/>
      <w:r w:rsidRPr="00266508">
        <w:rPr>
          <w:color w:val="000000" w:themeColor="text1"/>
        </w:rPr>
        <w:t>Keen</w:t>
      </w:r>
      <w:proofErr w:type="spellEnd"/>
      <w:r w:rsidRPr="00266508">
        <w:rPr>
          <w:color w:val="000000" w:themeColor="text1"/>
        </w:rPr>
        <w:t xml:space="preserve">, M. (2011). </w:t>
      </w:r>
      <w:proofErr w:type="spellStart"/>
      <w:r w:rsidRPr="00266508">
        <w:rPr>
          <w:color w:val="000000" w:themeColor="text1"/>
        </w:rPr>
        <w:t>What</w:t>
      </w:r>
      <w:proofErr w:type="spellEnd"/>
      <w:r w:rsidRPr="00266508">
        <w:rPr>
          <w:color w:val="000000" w:themeColor="text1"/>
        </w:rPr>
        <w:t xml:space="preserve"> Do (and </w:t>
      </w:r>
      <w:proofErr w:type="spellStart"/>
      <w:r w:rsidRPr="00266508">
        <w:rPr>
          <w:color w:val="000000" w:themeColor="text1"/>
        </w:rPr>
        <w:t>Don't</w:t>
      </w:r>
      <w:proofErr w:type="spellEnd"/>
      <w:r w:rsidRPr="00266508">
        <w:rPr>
          <w:color w:val="000000" w:themeColor="text1"/>
        </w:rPr>
        <w:t xml:space="preserve">) </w:t>
      </w:r>
      <w:proofErr w:type="spellStart"/>
      <w:r w:rsidRPr="00266508">
        <w:rPr>
          <w:color w:val="000000" w:themeColor="text1"/>
        </w:rPr>
        <w:t>We</w:t>
      </w:r>
      <w:proofErr w:type="spellEnd"/>
      <w:r w:rsidRPr="00266508">
        <w:rPr>
          <w:color w:val="000000" w:themeColor="text1"/>
        </w:rPr>
        <w:t xml:space="preserve"> </w:t>
      </w:r>
      <w:proofErr w:type="spellStart"/>
      <w:r w:rsidRPr="00266508">
        <w:rPr>
          <w:color w:val="000000" w:themeColor="text1"/>
        </w:rPr>
        <w:t>Know</w:t>
      </w:r>
      <w:proofErr w:type="spellEnd"/>
      <w:r w:rsidRPr="00266508">
        <w:rPr>
          <w:color w:val="000000" w:themeColor="text1"/>
        </w:rPr>
        <w:t xml:space="preserve"> </w:t>
      </w:r>
      <w:proofErr w:type="spellStart"/>
      <w:r w:rsidRPr="00266508">
        <w:rPr>
          <w:color w:val="000000" w:themeColor="text1"/>
        </w:rPr>
        <w:t>about</w:t>
      </w:r>
      <w:proofErr w:type="spellEnd"/>
      <w:r w:rsidRPr="00266508">
        <w:rPr>
          <w:color w:val="000000" w:themeColor="text1"/>
        </w:rPr>
        <w:t xml:space="preserve"> </w:t>
      </w:r>
      <w:proofErr w:type="spellStart"/>
      <w:r w:rsidRPr="00266508">
        <w:rPr>
          <w:color w:val="000000" w:themeColor="text1"/>
        </w:rPr>
        <w:t>the</w:t>
      </w:r>
      <w:proofErr w:type="spellEnd"/>
      <w:r w:rsidRPr="00266508">
        <w:rPr>
          <w:color w:val="000000" w:themeColor="text1"/>
        </w:rPr>
        <w:t xml:space="preserve"> </w:t>
      </w:r>
      <w:proofErr w:type="spellStart"/>
      <w:r w:rsidRPr="00266508">
        <w:rPr>
          <w:color w:val="000000" w:themeColor="text1"/>
        </w:rPr>
        <w:t>Value</w:t>
      </w:r>
      <w:proofErr w:type="spellEnd"/>
      <w:r w:rsidRPr="00266508">
        <w:rPr>
          <w:color w:val="000000" w:themeColor="text1"/>
        </w:rPr>
        <w:t xml:space="preserve"> </w:t>
      </w:r>
      <w:proofErr w:type="spellStart"/>
      <w:r w:rsidRPr="00266508">
        <w:rPr>
          <w:color w:val="000000" w:themeColor="text1"/>
        </w:rPr>
        <w:t>Added</w:t>
      </w:r>
      <w:proofErr w:type="spellEnd"/>
      <w:r w:rsidRPr="00266508">
        <w:rPr>
          <w:color w:val="000000" w:themeColor="text1"/>
        </w:rPr>
        <w:t xml:space="preserve"> </w:t>
      </w:r>
      <w:proofErr w:type="spellStart"/>
      <w:r w:rsidRPr="00266508">
        <w:rPr>
          <w:color w:val="000000" w:themeColor="text1"/>
        </w:rPr>
        <w:t>Tax</w:t>
      </w:r>
      <w:proofErr w:type="spellEnd"/>
      <w:r w:rsidRPr="00266508">
        <w:rPr>
          <w:color w:val="000000" w:themeColor="text1"/>
        </w:rPr>
        <w:t xml:space="preserve">? A </w:t>
      </w:r>
      <w:proofErr w:type="spellStart"/>
      <w:r w:rsidRPr="00266508">
        <w:rPr>
          <w:color w:val="000000" w:themeColor="text1"/>
        </w:rPr>
        <w:t>Review</w:t>
      </w:r>
      <w:proofErr w:type="spellEnd"/>
      <w:r w:rsidRPr="00266508">
        <w:rPr>
          <w:color w:val="000000" w:themeColor="text1"/>
        </w:rPr>
        <w:t xml:space="preserve"> </w:t>
      </w:r>
      <w:proofErr w:type="spellStart"/>
      <w:r w:rsidRPr="00266508">
        <w:rPr>
          <w:color w:val="000000" w:themeColor="text1"/>
        </w:rPr>
        <w:t>of</w:t>
      </w:r>
      <w:proofErr w:type="spellEnd"/>
      <w:r w:rsidRPr="00266508">
        <w:rPr>
          <w:color w:val="000000" w:themeColor="text1"/>
        </w:rPr>
        <w:t xml:space="preserve"> </w:t>
      </w:r>
      <w:proofErr w:type="spellStart"/>
      <w:r w:rsidRPr="00266508">
        <w:rPr>
          <w:color w:val="000000" w:themeColor="text1"/>
        </w:rPr>
        <w:t>the</w:t>
      </w:r>
      <w:proofErr w:type="spellEnd"/>
      <w:r w:rsidRPr="00266508">
        <w:rPr>
          <w:color w:val="000000" w:themeColor="text1"/>
        </w:rPr>
        <w:t xml:space="preserve"> IMF. Recuperado de </w:t>
      </w:r>
      <w:hyperlink r:id="rId26" w:tgtFrame="_new" w:history="1">
        <w:r w:rsidRPr="00266508">
          <w:rPr>
            <w:rStyle w:val="Hipervnculo"/>
            <w:color w:val="000000" w:themeColor="text1"/>
            <w:u w:val="none"/>
          </w:rPr>
          <w:t>https://www.jstor.org</w:t>
        </w:r>
      </w:hyperlink>
      <w:r w:rsidR="008F56C1" w:rsidRPr="00266508">
        <w:rPr>
          <w:rStyle w:val="Hipervnculo"/>
          <w:color w:val="000000" w:themeColor="text1"/>
          <w:u w:val="none"/>
        </w:rPr>
        <w:t>.</w:t>
      </w:r>
    </w:p>
    <w:p w14:paraId="3FADD70C" w14:textId="0DE95908"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López, A. (2024). </w:t>
      </w:r>
      <w:r w:rsidRPr="003A095E">
        <w:rPr>
          <w:color w:val="000000" w:themeColor="text1"/>
        </w:rPr>
        <w:t>El AIU en la construcción: Aplicación del IVA</w:t>
      </w:r>
      <w:r w:rsidRPr="00266508">
        <w:rPr>
          <w:color w:val="000000" w:themeColor="text1"/>
        </w:rPr>
        <w:t>. Gerencie.</w:t>
      </w:r>
      <w:r w:rsidR="008F56C1" w:rsidRPr="00266508">
        <w:rPr>
          <w:color w:val="000000" w:themeColor="text1"/>
        </w:rPr>
        <w:t xml:space="preserve"> https://actualicese.com/aiu/</w:t>
      </w:r>
    </w:p>
    <w:p w14:paraId="0B1FBD28" w14:textId="77777777"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López, J. (2016). </w:t>
      </w:r>
      <w:r w:rsidRPr="003A095E">
        <w:rPr>
          <w:rStyle w:val="nfasis"/>
          <w:i w:val="0"/>
          <w:iCs w:val="0"/>
          <w:color w:val="000000" w:themeColor="text1"/>
        </w:rPr>
        <w:t>El AIU y su Aplicación en Obras Civiles</w:t>
      </w:r>
      <w:r w:rsidRPr="00266508">
        <w:rPr>
          <w:color w:val="000000" w:themeColor="text1"/>
        </w:rPr>
        <w:t xml:space="preserve">. Siigo. Recuperado de </w:t>
      </w:r>
      <w:hyperlink r:id="rId27" w:tgtFrame="_new" w:history="1">
        <w:r w:rsidRPr="00266508">
          <w:rPr>
            <w:rStyle w:val="Hipervnculo"/>
            <w:color w:val="000000" w:themeColor="text1"/>
            <w:u w:val="none"/>
          </w:rPr>
          <w:t>Siigo</w:t>
        </w:r>
      </w:hyperlink>
      <w:r w:rsidRPr="00266508">
        <w:rPr>
          <w:color w:val="000000" w:themeColor="text1"/>
        </w:rPr>
        <w:t>.</w:t>
      </w:r>
    </w:p>
    <w:p w14:paraId="64988ED2" w14:textId="0F55070D"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Martínez, C. (2022). </w:t>
      </w:r>
      <w:r w:rsidRPr="003A095E">
        <w:rPr>
          <w:rStyle w:val="nfasis"/>
          <w:i w:val="0"/>
          <w:iCs w:val="0"/>
          <w:color w:val="000000" w:themeColor="text1"/>
        </w:rPr>
        <w:t>Análisis del Sector de la Construcción en Colombia</w:t>
      </w:r>
      <w:r w:rsidRPr="00266508">
        <w:rPr>
          <w:color w:val="000000" w:themeColor="text1"/>
        </w:rPr>
        <w:t xml:space="preserve">. Gestiopolis. Recuperado de </w:t>
      </w:r>
      <w:hyperlink r:id="rId28" w:tgtFrame="_new" w:history="1">
        <w:r w:rsidRPr="00266508">
          <w:rPr>
            <w:rStyle w:val="Hipervnculo"/>
            <w:color w:val="000000" w:themeColor="text1"/>
            <w:u w:val="none"/>
          </w:rPr>
          <w:t>Gestiopolis</w:t>
        </w:r>
      </w:hyperlink>
      <w:r w:rsidRPr="00266508">
        <w:rPr>
          <w:color w:val="000000" w:themeColor="text1"/>
        </w:rPr>
        <w:t>.</w:t>
      </w:r>
      <w:r w:rsidR="008F56C1" w:rsidRPr="00266508">
        <w:rPr>
          <w:color w:val="000000" w:themeColor="text1"/>
        </w:rPr>
        <w:t xml:space="preserve"> https://www.gestiopolis.com/analisis-del-sector-la-construccion-colombia/</w:t>
      </w:r>
    </w:p>
    <w:p w14:paraId="4BABEEA5" w14:textId="77777777" w:rsidR="00121D48" w:rsidRPr="00266508" w:rsidRDefault="00121D48" w:rsidP="003A095E">
      <w:pPr>
        <w:pStyle w:val="NormalWeb"/>
        <w:spacing w:before="100" w:after="100"/>
        <w:ind w:left="680"/>
        <w:jc w:val="left"/>
        <w:rPr>
          <w:color w:val="000000" w:themeColor="text1"/>
        </w:rPr>
      </w:pPr>
      <w:r w:rsidRPr="00266508">
        <w:rPr>
          <w:color w:val="000000" w:themeColor="text1"/>
        </w:rPr>
        <w:lastRenderedPageBreak/>
        <w:t xml:space="preserve">Martínez, Carlos. (2022). </w:t>
      </w:r>
      <w:r w:rsidRPr="003A095E">
        <w:rPr>
          <w:rStyle w:val="nfasis"/>
          <w:i w:val="0"/>
          <w:iCs w:val="0"/>
          <w:color w:val="000000" w:themeColor="text1"/>
        </w:rPr>
        <w:t>El AIU en Contratos de Construcción</w:t>
      </w:r>
      <w:r w:rsidRPr="00266508">
        <w:rPr>
          <w:color w:val="000000" w:themeColor="text1"/>
        </w:rPr>
        <w:t xml:space="preserve">. Gerencie.com. Recuperado de </w:t>
      </w:r>
      <w:hyperlink r:id="rId29" w:tgtFrame="_new" w:history="1">
        <w:r w:rsidRPr="00266508">
          <w:rPr>
            <w:rStyle w:val="Hipervnculo"/>
            <w:color w:val="000000" w:themeColor="text1"/>
            <w:u w:val="none"/>
          </w:rPr>
          <w:t>Gerencie</w:t>
        </w:r>
      </w:hyperlink>
      <w:r w:rsidRPr="00266508">
        <w:rPr>
          <w:color w:val="000000" w:themeColor="text1"/>
        </w:rPr>
        <w:t>.</w:t>
      </w:r>
    </w:p>
    <w:p w14:paraId="4920EBF3" w14:textId="3D20EFEB"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Martínez, R. (2019). Legislación tributaria en la construcción. </w:t>
      </w:r>
      <w:proofErr w:type="spellStart"/>
      <w:r w:rsidRPr="00266508">
        <w:rPr>
          <w:color w:val="000000" w:themeColor="text1"/>
        </w:rPr>
        <w:t>Accounter</w:t>
      </w:r>
      <w:proofErr w:type="spellEnd"/>
      <w:r w:rsidRPr="00266508">
        <w:rPr>
          <w:color w:val="000000" w:themeColor="text1"/>
        </w:rPr>
        <w:t>.</w:t>
      </w:r>
      <w:r w:rsidR="008F56C1" w:rsidRPr="00266508">
        <w:rPr>
          <w:color w:val="000000" w:themeColor="text1"/>
        </w:rPr>
        <w:t xml:space="preserve"> https://accounter.co/normatividad/conceptos/base-gravable-iva-en-contratos-de-construccion-concepto-4761-de-2019.html</w:t>
      </w:r>
    </w:p>
    <w:p w14:paraId="5C88837D" w14:textId="0FE77284"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Mendoza, P. (2022). </w:t>
      </w:r>
      <w:r w:rsidRPr="00266508">
        <w:rPr>
          <w:rStyle w:val="nfasis"/>
          <w:i w:val="0"/>
          <w:iCs w:val="0"/>
          <w:color w:val="000000" w:themeColor="text1"/>
        </w:rPr>
        <w:t>Evasión del IVA en materiales de construcción sumaría $500.000 millones</w:t>
      </w:r>
      <w:r w:rsidRPr="00266508">
        <w:rPr>
          <w:i/>
          <w:iCs/>
          <w:color w:val="000000" w:themeColor="text1"/>
        </w:rPr>
        <w:t>.</w:t>
      </w:r>
      <w:r w:rsidRPr="00266508">
        <w:rPr>
          <w:color w:val="000000" w:themeColor="text1"/>
        </w:rPr>
        <w:t xml:space="preserve"> El Espectador. Recuperado de </w:t>
      </w:r>
      <w:hyperlink r:id="rId30" w:tgtFrame="_new" w:history="1">
        <w:r w:rsidRPr="00266508">
          <w:rPr>
            <w:rStyle w:val="Hipervnculo"/>
            <w:color w:val="000000" w:themeColor="text1"/>
            <w:u w:val="none"/>
          </w:rPr>
          <w:t>El Espectador</w:t>
        </w:r>
      </w:hyperlink>
      <w:r w:rsidRPr="00266508">
        <w:rPr>
          <w:color w:val="000000" w:themeColor="text1"/>
        </w:rPr>
        <w:t>.</w:t>
      </w:r>
      <w:r w:rsidR="00266508" w:rsidRPr="00266508">
        <w:rPr>
          <w:color w:val="000000" w:themeColor="text1"/>
        </w:rPr>
        <w:t xml:space="preserve"> https://www.elespectador.com/economia/evasion-del-iva-en-materiales-de-construccion-sumaria-500000-millones/</w:t>
      </w:r>
    </w:p>
    <w:p w14:paraId="52AD43C2" w14:textId="6BA40F2F" w:rsidR="00121D48" w:rsidRPr="00266508" w:rsidRDefault="00121D48" w:rsidP="003A095E">
      <w:pPr>
        <w:pStyle w:val="NormalWeb"/>
        <w:spacing w:before="100" w:after="100"/>
        <w:ind w:left="680"/>
        <w:jc w:val="left"/>
        <w:rPr>
          <w:color w:val="000000" w:themeColor="text1"/>
        </w:rPr>
      </w:pPr>
      <w:r w:rsidRPr="00266508">
        <w:rPr>
          <w:color w:val="000000" w:themeColor="text1"/>
        </w:rPr>
        <w:t>Piza Rodríguez, J.R. 2014. La función de fiscalización tributaria en Colombia. Revista de derecho Fiscal. 7 (dic. 2014).</w:t>
      </w:r>
    </w:p>
    <w:p w14:paraId="03FECA8D" w14:textId="33A0EC87" w:rsidR="00121D48" w:rsidRPr="00266508" w:rsidRDefault="00121D48" w:rsidP="003A095E">
      <w:pPr>
        <w:pStyle w:val="NormalWeb"/>
        <w:spacing w:before="100" w:after="100"/>
        <w:ind w:left="680"/>
        <w:jc w:val="left"/>
        <w:rPr>
          <w:color w:val="000000" w:themeColor="text1"/>
        </w:rPr>
      </w:pPr>
      <w:proofErr w:type="spellStart"/>
      <w:r w:rsidRPr="00266508">
        <w:rPr>
          <w:color w:val="000000" w:themeColor="text1"/>
        </w:rPr>
        <w:t>Rasteletti</w:t>
      </w:r>
      <w:proofErr w:type="spellEnd"/>
      <w:r w:rsidRPr="00266508">
        <w:rPr>
          <w:color w:val="000000" w:themeColor="text1"/>
        </w:rPr>
        <w:t xml:space="preserve">, A., &amp; Saravia, E. (2023). </w:t>
      </w:r>
      <w:r w:rsidRPr="00266508">
        <w:rPr>
          <w:rStyle w:val="nfasis"/>
          <w:i w:val="0"/>
          <w:iCs w:val="0"/>
          <w:color w:val="000000" w:themeColor="text1"/>
        </w:rPr>
        <w:t>Gasto tributario y evasión en el impuesto al valor agregado en América Latina y el Caribe</w:t>
      </w:r>
      <w:r w:rsidRPr="00266508">
        <w:rPr>
          <w:color w:val="000000" w:themeColor="text1"/>
        </w:rPr>
        <w:t xml:space="preserve">. Banco Interamericano de Desarrollo. Recuperado de </w:t>
      </w:r>
      <w:hyperlink r:id="rId31" w:tgtFrame="_new" w:history="1">
        <w:r w:rsidRPr="00266508">
          <w:rPr>
            <w:rStyle w:val="Hipervnculo"/>
            <w:color w:val="000000" w:themeColor="text1"/>
            <w:u w:val="none"/>
          </w:rPr>
          <w:t>Normograma DIAN</w:t>
        </w:r>
      </w:hyperlink>
      <w:r w:rsidRPr="00266508">
        <w:rPr>
          <w:color w:val="000000" w:themeColor="text1"/>
        </w:rPr>
        <w:t>.</w:t>
      </w:r>
    </w:p>
    <w:p w14:paraId="6E5D969D" w14:textId="6884E7C3"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Rivera Cruz, Y. P. (2014). </w:t>
      </w:r>
      <w:r w:rsidRPr="00266508">
        <w:rPr>
          <w:rStyle w:val="nfasis"/>
          <w:i w:val="0"/>
          <w:iCs w:val="0"/>
          <w:color w:val="000000" w:themeColor="text1"/>
        </w:rPr>
        <w:t>Gerencia y Administración Tributaria</w:t>
      </w:r>
      <w:r w:rsidRPr="00266508">
        <w:rPr>
          <w:color w:val="000000" w:themeColor="text1"/>
        </w:rPr>
        <w:t>. Universidad de Bogotá Jorge Tadeo Lozano, Facultad de Ciencias Económicas y Administrativas.</w:t>
      </w:r>
    </w:p>
    <w:p w14:paraId="67D7DC17" w14:textId="501FB65E" w:rsidR="00AF5115" w:rsidRPr="00266508" w:rsidRDefault="00121D48" w:rsidP="003A095E">
      <w:pPr>
        <w:pStyle w:val="NormalWeb"/>
        <w:spacing w:before="100" w:after="100"/>
        <w:ind w:left="680"/>
        <w:jc w:val="left"/>
        <w:rPr>
          <w:rStyle w:val="Hipervnculo"/>
          <w:color w:val="000000" w:themeColor="text1"/>
          <w:u w:val="none"/>
        </w:rPr>
      </w:pPr>
      <w:r w:rsidRPr="00266508">
        <w:rPr>
          <w:color w:val="000000" w:themeColor="text1"/>
        </w:rPr>
        <w:t xml:space="preserve">Rivera García, S. Y. (2019). </w:t>
      </w:r>
      <w:r w:rsidRPr="00266508">
        <w:rPr>
          <w:rStyle w:val="nfasis"/>
          <w:i w:val="0"/>
          <w:iCs w:val="0"/>
          <w:color w:val="000000" w:themeColor="text1"/>
        </w:rPr>
        <w:t>Causas de la evasión del IVA en Colombia durante el período 2010-2018: una aproximación desde el Meta-Análisis</w:t>
      </w:r>
      <w:r w:rsidRPr="00266508">
        <w:rPr>
          <w:color w:val="000000" w:themeColor="text1"/>
        </w:rPr>
        <w:t>. Universitaria Agustiniana, Bogotá D.C.</w:t>
      </w:r>
    </w:p>
    <w:p w14:paraId="7AD23B70" w14:textId="77777777" w:rsidR="00121D48" w:rsidRPr="00266508" w:rsidRDefault="00121D48" w:rsidP="003A095E">
      <w:pPr>
        <w:pStyle w:val="NormalWeb"/>
        <w:spacing w:before="100" w:after="100"/>
        <w:ind w:left="680"/>
        <w:jc w:val="left"/>
        <w:rPr>
          <w:color w:val="000000" w:themeColor="text1"/>
        </w:rPr>
      </w:pPr>
      <w:r w:rsidRPr="00266508">
        <w:rPr>
          <w:color w:val="000000" w:themeColor="text1"/>
        </w:rPr>
        <w:lastRenderedPageBreak/>
        <w:t xml:space="preserve">Rodríguez, Álvaro. (2024). </w:t>
      </w:r>
      <w:r w:rsidRPr="00266508">
        <w:rPr>
          <w:rStyle w:val="nfasis"/>
          <w:i w:val="0"/>
          <w:iCs w:val="0"/>
          <w:color w:val="000000" w:themeColor="text1"/>
        </w:rPr>
        <w:t>AIU en Obras Civiles</w:t>
      </w:r>
      <w:r w:rsidRPr="00266508">
        <w:rPr>
          <w:color w:val="000000" w:themeColor="text1"/>
        </w:rPr>
        <w:t xml:space="preserve">. Gerente al Día. Recuperado de </w:t>
      </w:r>
      <w:hyperlink r:id="rId32" w:tgtFrame="_new" w:history="1">
        <w:r w:rsidRPr="00266508">
          <w:rPr>
            <w:rStyle w:val="Hipervnculo"/>
            <w:color w:val="000000" w:themeColor="text1"/>
            <w:u w:val="none"/>
          </w:rPr>
          <w:t>Gerente al Día</w:t>
        </w:r>
      </w:hyperlink>
      <w:r w:rsidRPr="00266508">
        <w:rPr>
          <w:color w:val="000000" w:themeColor="text1"/>
        </w:rPr>
        <w:t>.</w:t>
      </w:r>
    </w:p>
    <w:p w14:paraId="68E71D07" w14:textId="049D5C91" w:rsidR="00AF5115" w:rsidRPr="00266508" w:rsidRDefault="00121D48" w:rsidP="003A095E">
      <w:pPr>
        <w:pStyle w:val="NormalWeb"/>
        <w:spacing w:before="100" w:after="100"/>
        <w:ind w:left="680"/>
        <w:jc w:val="left"/>
        <w:rPr>
          <w:color w:val="000000" w:themeColor="text1"/>
        </w:rPr>
      </w:pPr>
      <w:r w:rsidRPr="00266508">
        <w:rPr>
          <w:color w:val="000000" w:themeColor="text1"/>
        </w:rPr>
        <w:t xml:space="preserve">Semana. (2022). </w:t>
      </w:r>
      <w:r w:rsidRPr="00266508">
        <w:rPr>
          <w:rStyle w:val="nfasis"/>
          <w:i w:val="0"/>
          <w:iCs w:val="0"/>
          <w:color w:val="000000" w:themeColor="text1"/>
        </w:rPr>
        <w:t xml:space="preserve">¿Cuánto pierde Colombia por evasión del IVA en el sector de materiales de </w:t>
      </w:r>
      <w:r w:rsidR="002F583B" w:rsidRPr="00266508">
        <w:rPr>
          <w:rStyle w:val="nfasis"/>
          <w:i w:val="0"/>
          <w:iCs w:val="0"/>
          <w:color w:val="000000" w:themeColor="text1"/>
        </w:rPr>
        <w:t>construcción?</w:t>
      </w:r>
      <w:r w:rsidRPr="00266508">
        <w:rPr>
          <w:color w:val="000000" w:themeColor="text1"/>
        </w:rPr>
        <w:t xml:space="preserve"> Recuperado de </w:t>
      </w:r>
      <w:hyperlink r:id="rId33" w:tgtFrame="_new" w:history="1">
        <w:r w:rsidRPr="00266508">
          <w:rPr>
            <w:rStyle w:val="Hipervnculo"/>
            <w:color w:val="000000" w:themeColor="text1"/>
            <w:u w:val="none"/>
          </w:rPr>
          <w:t>Semana</w:t>
        </w:r>
      </w:hyperlink>
      <w:r w:rsidRPr="00266508">
        <w:rPr>
          <w:color w:val="000000" w:themeColor="text1"/>
        </w:rPr>
        <w:t>.</w:t>
      </w:r>
    </w:p>
    <w:p w14:paraId="3B85CCA4" w14:textId="568F3CE3" w:rsidR="008F56C1" w:rsidRPr="00266508" w:rsidRDefault="00121D48" w:rsidP="003A095E">
      <w:pPr>
        <w:pStyle w:val="NormalWeb"/>
        <w:spacing w:before="100" w:after="100"/>
        <w:ind w:left="680"/>
        <w:jc w:val="left"/>
        <w:rPr>
          <w:color w:val="000000" w:themeColor="text1"/>
        </w:rPr>
      </w:pPr>
      <w:r w:rsidRPr="00266508">
        <w:rPr>
          <w:color w:val="000000" w:themeColor="text1"/>
        </w:rPr>
        <w:t xml:space="preserve">Servicio Nacional de Aprendizaje (SENA). (2019). </w:t>
      </w:r>
      <w:r w:rsidRPr="00266508">
        <w:rPr>
          <w:rStyle w:val="nfasis"/>
          <w:i w:val="0"/>
          <w:iCs w:val="0"/>
          <w:color w:val="000000" w:themeColor="text1"/>
        </w:rPr>
        <w:t>Proyecto de Investigación del Sector de la Construcción de Edificaciones en Colombia</w:t>
      </w:r>
      <w:r w:rsidRPr="00266508">
        <w:rPr>
          <w:color w:val="000000" w:themeColor="text1"/>
        </w:rPr>
        <w:t xml:space="preserve">. Recuperado de </w:t>
      </w:r>
      <w:hyperlink r:id="rId34" w:tgtFrame="_new" w:history="1">
        <w:r w:rsidRPr="00266508">
          <w:rPr>
            <w:rStyle w:val="Hipervnculo"/>
            <w:color w:val="000000" w:themeColor="text1"/>
            <w:u w:val="none"/>
          </w:rPr>
          <w:t>SENA</w:t>
        </w:r>
      </w:hyperlink>
      <w:r w:rsidRPr="00266508">
        <w:rPr>
          <w:color w:val="000000" w:themeColor="text1"/>
        </w:rPr>
        <w:t>.</w:t>
      </w:r>
      <w:r w:rsidR="008F56C1" w:rsidRPr="00266508">
        <w:rPr>
          <w:color w:val="000000" w:themeColor="text1"/>
        </w:rPr>
        <w:t xml:space="preserve"> </w:t>
      </w:r>
      <w:hyperlink r:id="rId35" w:history="1">
        <w:r w:rsidR="008F56C1" w:rsidRPr="00266508">
          <w:rPr>
            <w:rStyle w:val="Hipervnculo"/>
            <w:color w:val="000000" w:themeColor="text1"/>
            <w:u w:val="none"/>
          </w:rPr>
          <w:t>https://camacol.co/descargable/proyecto-de-investigacion-del-sector-de-la-construccion-de-edificaciones-en-colombia-0</w:t>
        </w:r>
      </w:hyperlink>
    </w:p>
    <w:p w14:paraId="5C3091D1" w14:textId="0A5B67F3" w:rsidR="00121D48" w:rsidRPr="00266508" w:rsidRDefault="00121D48" w:rsidP="003A095E">
      <w:pPr>
        <w:pStyle w:val="NormalWeb"/>
        <w:spacing w:before="100" w:after="100"/>
        <w:ind w:left="680"/>
        <w:jc w:val="left"/>
        <w:rPr>
          <w:color w:val="000000" w:themeColor="text1"/>
        </w:rPr>
      </w:pPr>
      <w:r w:rsidRPr="00266508">
        <w:rPr>
          <w:color w:val="000000" w:themeColor="text1"/>
        </w:rPr>
        <w:t xml:space="preserve">Transparencia por Colombia. (2023). </w:t>
      </w:r>
      <w:r w:rsidRPr="00266508">
        <w:rPr>
          <w:rStyle w:val="nfasis"/>
          <w:i w:val="0"/>
          <w:iCs w:val="0"/>
          <w:color w:val="000000" w:themeColor="text1"/>
        </w:rPr>
        <w:t>"Cartel de la evasión del IVA", más de 12 años falsificando facturas</w:t>
      </w:r>
      <w:r w:rsidRPr="00266508">
        <w:rPr>
          <w:i/>
          <w:iCs/>
          <w:color w:val="000000" w:themeColor="text1"/>
        </w:rPr>
        <w:t>.</w:t>
      </w:r>
      <w:r w:rsidRPr="00266508">
        <w:rPr>
          <w:color w:val="000000" w:themeColor="text1"/>
        </w:rPr>
        <w:t xml:space="preserve"> Recuperado de </w:t>
      </w:r>
      <w:hyperlink r:id="rId36" w:tgtFrame="_new" w:history="1">
        <w:r w:rsidRPr="00266508">
          <w:rPr>
            <w:rStyle w:val="Hipervnculo"/>
            <w:color w:val="000000" w:themeColor="text1"/>
            <w:u w:val="none"/>
          </w:rPr>
          <w:t>Transparencia por Colombia</w:t>
        </w:r>
      </w:hyperlink>
      <w:r w:rsidRPr="00266508">
        <w:rPr>
          <w:color w:val="000000" w:themeColor="text1"/>
        </w:rPr>
        <w:t>.</w:t>
      </w:r>
      <w:r w:rsidR="008F56C1" w:rsidRPr="00266508">
        <w:rPr>
          <w:color w:val="000000" w:themeColor="text1"/>
        </w:rPr>
        <w:t xml:space="preserve"> https://transparenciacolombia.org.co/negocios-fantasma/cartel-de-la-evasion-del-iva-mas-de-12-anos-falsificando-facturas/</w:t>
      </w:r>
    </w:p>
    <w:p w14:paraId="6A9BE7E1" w14:textId="77777777" w:rsidR="00266508" w:rsidRPr="00266508" w:rsidRDefault="00266508">
      <w:pPr>
        <w:pStyle w:val="NormalWeb"/>
        <w:spacing w:line="276" w:lineRule="auto"/>
        <w:rPr>
          <w:color w:val="000000" w:themeColor="text1"/>
        </w:rPr>
      </w:pPr>
    </w:p>
    <w:sectPr w:rsidR="00266508" w:rsidRPr="00266508" w:rsidSect="00C57CA8">
      <w:headerReference w:type="default" r:id="rId37"/>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054BA" w14:textId="77777777" w:rsidR="00823555" w:rsidRDefault="00823555" w:rsidP="0014544E">
      <w:pPr>
        <w:spacing w:after="0" w:line="240" w:lineRule="auto"/>
      </w:pPr>
      <w:r>
        <w:separator/>
      </w:r>
    </w:p>
  </w:endnote>
  <w:endnote w:type="continuationSeparator" w:id="0">
    <w:p w14:paraId="07CCC032" w14:textId="77777777" w:rsidR="00823555" w:rsidRDefault="00823555" w:rsidP="0014544E">
      <w:pPr>
        <w:spacing w:after="0" w:line="240" w:lineRule="auto"/>
      </w:pPr>
      <w:r>
        <w:continuationSeparator/>
      </w:r>
    </w:p>
  </w:endnote>
  <w:endnote w:type="continuationNotice" w:id="1">
    <w:p w14:paraId="000DC217" w14:textId="77777777" w:rsidR="00430761" w:rsidRDefault="004307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570AA" w14:textId="77777777" w:rsidR="00823555" w:rsidRDefault="00823555" w:rsidP="0014544E">
      <w:pPr>
        <w:spacing w:after="0" w:line="240" w:lineRule="auto"/>
      </w:pPr>
      <w:r>
        <w:separator/>
      </w:r>
    </w:p>
  </w:footnote>
  <w:footnote w:type="continuationSeparator" w:id="0">
    <w:p w14:paraId="20F2156C" w14:textId="77777777" w:rsidR="00823555" w:rsidRDefault="00823555" w:rsidP="0014544E">
      <w:pPr>
        <w:spacing w:after="0" w:line="240" w:lineRule="auto"/>
      </w:pPr>
      <w:r>
        <w:continuationSeparator/>
      </w:r>
    </w:p>
  </w:footnote>
  <w:footnote w:type="continuationNotice" w:id="1">
    <w:p w14:paraId="58DA354E" w14:textId="77777777" w:rsidR="00430761" w:rsidRDefault="00430761">
      <w:pPr>
        <w:spacing w:after="0" w:line="240" w:lineRule="auto"/>
      </w:pPr>
    </w:p>
  </w:footnote>
  <w:footnote w:id="2">
    <w:p w14:paraId="1EFAD826" w14:textId="510DC272" w:rsidR="00137C51" w:rsidRPr="008F56C1" w:rsidRDefault="00137C51" w:rsidP="000B30FC">
      <w:pPr>
        <w:pStyle w:val="Textonotapie"/>
        <w:ind w:firstLine="0"/>
        <w:rPr>
          <w:sz w:val="24"/>
          <w:szCs w:val="24"/>
        </w:rPr>
      </w:pPr>
      <w:r w:rsidRPr="008F56C1">
        <w:rPr>
          <w:rStyle w:val="Refdenotaalpie"/>
          <w:sz w:val="24"/>
          <w:szCs w:val="24"/>
        </w:rPr>
        <w:footnoteRef/>
      </w:r>
      <w:r w:rsidRPr="008F56C1">
        <w:rPr>
          <w:sz w:val="24"/>
          <w:szCs w:val="24"/>
        </w:rPr>
        <w:t xml:space="preserve"> Este trabajo de investigación</w:t>
      </w:r>
      <w:r w:rsidR="000B30FC" w:rsidRPr="008F56C1">
        <w:rPr>
          <w:sz w:val="24"/>
          <w:szCs w:val="24"/>
        </w:rPr>
        <w:t xml:space="preserve"> </w:t>
      </w:r>
      <w:r w:rsidR="001606C5" w:rsidRPr="008F56C1">
        <w:rPr>
          <w:sz w:val="24"/>
          <w:szCs w:val="24"/>
        </w:rPr>
        <w:t>formativa se</w:t>
      </w:r>
      <w:r w:rsidRPr="008F56C1">
        <w:rPr>
          <w:sz w:val="24"/>
          <w:szCs w:val="24"/>
        </w:rPr>
        <w:t xml:space="preserve"> presenta con el fin </w:t>
      </w:r>
      <w:r w:rsidR="000B30FC" w:rsidRPr="008F56C1">
        <w:rPr>
          <w:sz w:val="24"/>
          <w:szCs w:val="24"/>
        </w:rPr>
        <w:t xml:space="preserve">de optar al </w:t>
      </w:r>
      <w:r w:rsidR="001606C5" w:rsidRPr="008F56C1">
        <w:rPr>
          <w:sz w:val="24"/>
          <w:szCs w:val="24"/>
        </w:rPr>
        <w:t>título</w:t>
      </w:r>
      <w:r w:rsidR="000B30FC" w:rsidRPr="008F56C1">
        <w:rPr>
          <w:sz w:val="24"/>
          <w:szCs w:val="24"/>
        </w:rPr>
        <w:t xml:space="preserve"> de Especialista en Gestión y Control tributario de la Universidad Católica Luis Amigo con el acompañamiento de la mg. Ruby Stella Cabrera Jaramillo. </w:t>
      </w:r>
    </w:p>
  </w:footnote>
  <w:footnote w:id="3">
    <w:p w14:paraId="000EEEC1" w14:textId="18051743" w:rsidR="00137C51" w:rsidRPr="008F56C1" w:rsidRDefault="00137C51" w:rsidP="000B30FC">
      <w:pPr>
        <w:pStyle w:val="Textonotapie"/>
        <w:ind w:firstLine="0"/>
        <w:rPr>
          <w:sz w:val="24"/>
          <w:szCs w:val="24"/>
        </w:rPr>
      </w:pPr>
      <w:r w:rsidRPr="008F56C1">
        <w:rPr>
          <w:rStyle w:val="Refdenotaalpie"/>
          <w:sz w:val="24"/>
          <w:szCs w:val="24"/>
        </w:rPr>
        <w:footnoteRef/>
      </w:r>
      <w:r w:rsidRPr="008F56C1">
        <w:rPr>
          <w:sz w:val="24"/>
          <w:szCs w:val="24"/>
        </w:rPr>
        <w:t xml:space="preserve"> </w:t>
      </w:r>
      <w:r w:rsidR="002F583B" w:rsidRPr="008F56C1">
        <w:rPr>
          <w:sz w:val="24"/>
          <w:szCs w:val="24"/>
        </w:rPr>
        <w:t>Contadora Publica de la Universidad Católica Luis Amigo</w:t>
      </w:r>
      <w:r w:rsidRPr="008F56C1">
        <w:rPr>
          <w:sz w:val="24"/>
          <w:szCs w:val="24"/>
        </w:rPr>
        <w:t xml:space="preserve">, estudiante de la especialización en </w:t>
      </w:r>
      <w:r w:rsidR="000B30FC" w:rsidRPr="008F56C1">
        <w:rPr>
          <w:sz w:val="24"/>
          <w:szCs w:val="24"/>
        </w:rPr>
        <w:t>Gestión</w:t>
      </w:r>
      <w:r w:rsidRPr="008F56C1">
        <w:rPr>
          <w:sz w:val="24"/>
          <w:szCs w:val="24"/>
        </w:rPr>
        <w:t xml:space="preserve"> </w:t>
      </w:r>
      <w:r w:rsidR="002F583B">
        <w:rPr>
          <w:sz w:val="24"/>
          <w:szCs w:val="24"/>
        </w:rPr>
        <w:t>y</w:t>
      </w:r>
      <w:r w:rsidRPr="008F56C1">
        <w:rPr>
          <w:sz w:val="24"/>
          <w:szCs w:val="24"/>
        </w:rPr>
        <w:t xml:space="preserve"> control Tributario de la Universidad</w:t>
      </w:r>
      <w:r w:rsidR="000B30FC" w:rsidRPr="008F56C1">
        <w:rPr>
          <w:sz w:val="24"/>
          <w:szCs w:val="24"/>
        </w:rPr>
        <w:t xml:space="preserve"> </w:t>
      </w:r>
      <w:r w:rsidRPr="008F56C1">
        <w:rPr>
          <w:sz w:val="24"/>
          <w:szCs w:val="24"/>
        </w:rPr>
        <w:t>Católica Luis Amigó</w:t>
      </w:r>
      <w:r w:rsidR="002F583B">
        <w:rPr>
          <w:sz w:val="24"/>
          <w:szCs w:val="24"/>
        </w:rPr>
        <w:t>.</w:t>
      </w:r>
    </w:p>
  </w:footnote>
  <w:footnote w:id="4">
    <w:p w14:paraId="3BAD1644" w14:textId="77777777" w:rsidR="002F583B" w:rsidRPr="008F56C1" w:rsidRDefault="00137C51" w:rsidP="002F583B">
      <w:pPr>
        <w:pStyle w:val="Textonotapie"/>
        <w:ind w:firstLine="0"/>
        <w:rPr>
          <w:sz w:val="24"/>
          <w:szCs w:val="24"/>
        </w:rPr>
      </w:pPr>
      <w:r w:rsidRPr="008F56C1">
        <w:rPr>
          <w:rStyle w:val="Refdenotaalpie"/>
          <w:sz w:val="24"/>
          <w:szCs w:val="24"/>
        </w:rPr>
        <w:footnoteRef/>
      </w:r>
      <w:r w:rsidRPr="008F56C1">
        <w:rPr>
          <w:sz w:val="24"/>
          <w:szCs w:val="24"/>
        </w:rPr>
        <w:t xml:space="preserve"> Contadora </w:t>
      </w:r>
      <w:r w:rsidR="001606C5" w:rsidRPr="008F56C1">
        <w:rPr>
          <w:sz w:val="24"/>
          <w:szCs w:val="24"/>
        </w:rPr>
        <w:t>Publica de</w:t>
      </w:r>
      <w:r w:rsidRPr="008F56C1">
        <w:rPr>
          <w:sz w:val="24"/>
          <w:szCs w:val="24"/>
        </w:rPr>
        <w:t xml:space="preserve"> la Universidad Católica Luis Amigo</w:t>
      </w:r>
      <w:r w:rsidR="002F583B">
        <w:rPr>
          <w:sz w:val="24"/>
          <w:szCs w:val="24"/>
        </w:rPr>
        <w:t xml:space="preserve">, </w:t>
      </w:r>
      <w:r w:rsidR="002F583B" w:rsidRPr="008F56C1">
        <w:rPr>
          <w:sz w:val="24"/>
          <w:szCs w:val="24"/>
        </w:rPr>
        <w:t xml:space="preserve">estudiante de la especialización en Gestión </w:t>
      </w:r>
      <w:r w:rsidR="002F583B">
        <w:rPr>
          <w:sz w:val="24"/>
          <w:szCs w:val="24"/>
        </w:rPr>
        <w:t>y</w:t>
      </w:r>
      <w:r w:rsidR="002F583B" w:rsidRPr="008F56C1">
        <w:rPr>
          <w:sz w:val="24"/>
          <w:szCs w:val="24"/>
        </w:rPr>
        <w:t xml:space="preserve"> control Tributario de la Universidad Católica Luis Amigó</w:t>
      </w:r>
      <w:r w:rsidR="002F583B">
        <w:rPr>
          <w:sz w:val="24"/>
          <w:szCs w:val="24"/>
        </w:rPr>
        <w:t>.</w:t>
      </w:r>
    </w:p>
    <w:p w14:paraId="55F75665" w14:textId="7A3BFCC6" w:rsidR="00137C51" w:rsidRDefault="00137C51" w:rsidP="000B30FC">
      <w:pPr>
        <w:pStyle w:val="Textonotapie"/>
        <w:ind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8152817"/>
      <w:docPartObj>
        <w:docPartGallery w:val="Page Numbers (Top of Page)"/>
        <w:docPartUnique/>
      </w:docPartObj>
    </w:sdtPr>
    <w:sdtEndPr/>
    <w:sdtContent>
      <w:p w14:paraId="418786BF" w14:textId="1DF0FC8B" w:rsidR="00D01BEA" w:rsidRDefault="00D01BEA">
        <w:pPr>
          <w:pStyle w:val="Encabezado"/>
          <w:jc w:val="right"/>
        </w:pPr>
        <w:r>
          <w:fldChar w:fldCharType="begin"/>
        </w:r>
        <w:r>
          <w:instrText>PAGE   \* MERGEFORMAT</w:instrText>
        </w:r>
        <w:r>
          <w:fldChar w:fldCharType="separate"/>
        </w:r>
        <w:r>
          <w:rPr>
            <w:lang w:val="es-ES"/>
          </w:rPr>
          <w:t>2</w:t>
        </w:r>
        <w:r>
          <w:fldChar w:fldCharType="end"/>
        </w:r>
      </w:p>
    </w:sdtContent>
  </w:sdt>
  <w:p w14:paraId="4BC35838" w14:textId="77777777" w:rsidR="00D01BEA" w:rsidRDefault="00D01BE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D4EDD"/>
    <w:multiLevelType w:val="hybridMultilevel"/>
    <w:tmpl w:val="65A29738"/>
    <w:lvl w:ilvl="0" w:tplc="B13AAD8A">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0F0CA06E">
      <w:numFmt w:val="bullet"/>
      <w:lvlText w:val="•"/>
      <w:lvlJc w:val="left"/>
      <w:pPr>
        <w:ind w:left="1091" w:hanging="360"/>
      </w:pPr>
      <w:rPr>
        <w:lang w:val="es-ES" w:eastAsia="en-US" w:bidi="ar-SA"/>
      </w:rPr>
    </w:lvl>
    <w:lvl w:ilvl="2" w:tplc="33BE4E62">
      <w:numFmt w:val="bullet"/>
      <w:lvlText w:val="•"/>
      <w:lvlJc w:val="left"/>
      <w:pPr>
        <w:ind w:left="1363" w:hanging="360"/>
      </w:pPr>
      <w:rPr>
        <w:lang w:val="es-ES" w:eastAsia="en-US" w:bidi="ar-SA"/>
      </w:rPr>
    </w:lvl>
    <w:lvl w:ilvl="3" w:tplc="8466DD8E">
      <w:numFmt w:val="bullet"/>
      <w:lvlText w:val="•"/>
      <w:lvlJc w:val="left"/>
      <w:pPr>
        <w:ind w:left="1634" w:hanging="360"/>
      </w:pPr>
      <w:rPr>
        <w:lang w:val="es-ES" w:eastAsia="en-US" w:bidi="ar-SA"/>
      </w:rPr>
    </w:lvl>
    <w:lvl w:ilvl="4" w:tplc="401E3C0A">
      <w:numFmt w:val="bullet"/>
      <w:lvlText w:val="•"/>
      <w:lvlJc w:val="left"/>
      <w:pPr>
        <w:ind w:left="1906" w:hanging="360"/>
      </w:pPr>
      <w:rPr>
        <w:lang w:val="es-ES" w:eastAsia="en-US" w:bidi="ar-SA"/>
      </w:rPr>
    </w:lvl>
    <w:lvl w:ilvl="5" w:tplc="9E1AF48E">
      <w:numFmt w:val="bullet"/>
      <w:lvlText w:val="•"/>
      <w:lvlJc w:val="left"/>
      <w:pPr>
        <w:ind w:left="2177" w:hanging="360"/>
      </w:pPr>
      <w:rPr>
        <w:lang w:val="es-ES" w:eastAsia="en-US" w:bidi="ar-SA"/>
      </w:rPr>
    </w:lvl>
    <w:lvl w:ilvl="6" w:tplc="997CC32C">
      <w:numFmt w:val="bullet"/>
      <w:lvlText w:val="•"/>
      <w:lvlJc w:val="left"/>
      <w:pPr>
        <w:ind w:left="2449" w:hanging="360"/>
      </w:pPr>
      <w:rPr>
        <w:lang w:val="es-ES" w:eastAsia="en-US" w:bidi="ar-SA"/>
      </w:rPr>
    </w:lvl>
    <w:lvl w:ilvl="7" w:tplc="0C80FDA6">
      <w:numFmt w:val="bullet"/>
      <w:lvlText w:val="•"/>
      <w:lvlJc w:val="left"/>
      <w:pPr>
        <w:ind w:left="2720" w:hanging="360"/>
      </w:pPr>
      <w:rPr>
        <w:lang w:val="es-ES" w:eastAsia="en-US" w:bidi="ar-SA"/>
      </w:rPr>
    </w:lvl>
    <w:lvl w:ilvl="8" w:tplc="681676A2">
      <w:numFmt w:val="bullet"/>
      <w:lvlText w:val="•"/>
      <w:lvlJc w:val="left"/>
      <w:pPr>
        <w:ind w:left="2992" w:hanging="360"/>
      </w:pPr>
      <w:rPr>
        <w:lang w:val="es-ES" w:eastAsia="en-US" w:bidi="ar-SA"/>
      </w:rPr>
    </w:lvl>
  </w:abstractNum>
  <w:abstractNum w:abstractNumId="1" w15:restartNumberingAfterBreak="0">
    <w:nsid w:val="06F21448"/>
    <w:multiLevelType w:val="hybridMultilevel"/>
    <w:tmpl w:val="89D64FB8"/>
    <w:lvl w:ilvl="0" w:tplc="CF30FCF4">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DC5AF756">
      <w:numFmt w:val="bullet"/>
      <w:lvlText w:val="•"/>
      <w:lvlJc w:val="left"/>
      <w:pPr>
        <w:ind w:left="1091" w:hanging="360"/>
      </w:pPr>
      <w:rPr>
        <w:lang w:val="es-ES" w:eastAsia="en-US" w:bidi="ar-SA"/>
      </w:rPr>
    </w:lvl>
    <w:lvl w:ilvl="2" w:tplc="4C6AEADA">
      <w:numFmt w:val="bullet"/>
      <w:lvlText w:val="•"/>
      <w:lvlJc w:val="left"/>
      <w:pPr>
        <w:ind w:left="1363" w:hanging="360"/>
      </w:pPr>
      <w:rPr>
        <w:lang w:val="es-ES" w:eastAsia="en-US" w:bidi="ar-SA"/>
      </w:rPr>
    </w:lvl>
    <w:lvl w:ilvl="3" w:tplc="5BCE6292">
      <w:numFmt w:val="bullet"/>
      <w:lvlText w:val="•"/>
      <w:lvlJc w:val="left"/>
      <w:pPr>
        <w:ind w:left="1634" w:hanging="360"/>
      </w:pPr>
      <w:rPr>
        <w:lang w:val="es-ES" w:eastAsia="en-US" w:bidi="ar-SA"/>
      </w:rPr>
    </w:lvl>
    <w:lvl w:ilvl="4" w:tplc="F278A8C0">
      <w:numFmt w:val="bullet"/>
      <w:lvlText w:val="•"/>
      <w:lvlJc w:val="left"/>
      <w:pPr>
        <w:ind w:left="1906" w:hanging="360"/>
      </w:pPr>
      <w:rPr>
        <w:lang w:val="es-ES" w:eastAsia="en-US" w:bidi="ar-SA"/>
      </w:rPr>
    </w:lvl>
    <w:lvl w:ilvl="5" w:tplc="66F43794">
      <w:numFmt w:val="bullet"/>
      <w:lvlText w:val="•"/>
      <w:lvlJc w:val="left"/>
      <w:pPr>
        <w:ind w:left="2177" w:hanging="360"/>
      </w:pPr>
      <w:rPr>
        <w:lang w:val="es-ES" w:eastAsia="en-US" w:bidi="ar-SA"/>
      </w:rPr>
    </w:lvl>
    <w:lvl w:ilvl="6" w:tplc="7CB24EAA">
      <w:numFmt w:val="bullet"/>
      <w:lvlText w:val="•"/>
      <w:lvlJc w:val="left"/>
      <w:pPr>
        <w:ind w:left="2449" w:hanging="360"/>
      </w:pPr>
      <w:rPr>
        <w:lang w:val="es-ES" w:eastAsia="en-US" w:bidi="ar-SA"/>
      </w:rPr>
    </w:lvl>
    <w:lvl w:ilvl="7" w:tplc="344EF880">
      <w:numFmt w:val="bullet"/>
      <w:lvlText w:val="•"/>
      <w:lvlJc w:val="left"/>
      <w:pPr>
        <w:ind w:left="2720" w:hanging="360"/>
      </w:pPr>
      <w:rPr>
        <w:lang w:val="es-ES" w:eastAsia="en-US" w:bidi="ar-SA"/>
      </w:rPr>
    </w:lvl>
    <w:lvl w:ilvl="8" w:tplc="DF22B566">
      <w:numFmt w:val="bullet"/>
      <w:lvlText w:val="•"/>
      <w:lvlJc w:val="left"/>
      <w:pPr>
        <w:ind w:left="2992" w:hanging="360"/>
      </w:pPr>
      <w:rPr>
        <w:lang w:val="es-ES" w:eastAsia="en-US" w:bidi="ar-SA"/>
      </w:rPr>
    </w:lvl>
  </w:abstractNum>
  <w:abstractNum w:abstractNumId="2" w15:restartNumberingAfterBreak="0">
    <w:nsid w:val="08EE4C57"/>
    <w:multiLevelType w:val="hybridMultilevel"/>
    <w:tmpl w:val="C1FEDE54"/>
    <w:lvl w:ilvl="0" w:tplc="BC021B5C">
      <w:numFmt w:val="bullet"/>
      <w:lvlText w:val="-"/>
      <w:lvlJc w:val="left"/>
      <w:pPr>
        <w:ind w:left="320" w:hanging="214"/>
      </w:pPr>
      <w:rPr>
        <w:rFonts w:ascii="Calibri" w:eastAsia="Calibri" w:hAnsi="Calibri" w:cs="Calibri" w:hint="default"/>
        <w:w w:val="100"/>
        <w:sz w:val="24"/>
        <w:szCs w:val="24"/>
        <w:lang w:val="es-ES" w:eastAsia="en-US" w:bidi="ar-SA"/>
      </w:rPr>
    </w:lvl>
    <w:lvl w:ilvl="1" w:tplc="E2F0D1A2">
      <w:numFmt w:val="bullet"/>
      <w:lvlText w:val="•"/>
      <w:lvlJc w:val="left"/>
      <w:pPr>
        <w:ind w:left="684" w:hanging="214"/>
      </w:pPr>
      <w:rPr>
        <w:lang w:val="es-ES" w:eastAsia="en-US" w:bidi="ar-SA"/>
      </w:rPr>
    </w:lvl>
    <w:lvl w:ilvl="2" w:tplc="E4B0C456">
      <w:numFmt w:val="bullet"/>
      <w:lvlText w:val="•"/>
      <w:lvlJc w:val="left"/>
      <w:pPr>
        <w:ind w:left="1048" w:hanging="214"/>
      </w:pPr>
      <w:rPr>
        <w:lang w:val="es-ES" w:eastAsia="en-US" w:bidi="ar-SA"/>
      </w:rPr>
    </w:lvl>
    <w:lvl w:ilvl="3" w:tplc="95D81988">
      <w:numFmt w:val="bullet"/>
      <w:lvlText w:val="•"/>
      <w:lvlJc w:val="left"/>
      <w:pPr>
        <w:ind w:left="1412" w:hanging="214"/>
      </w:pPr>
      <w:rPr>
        <w:lang w:val="es-ES" w:eastAsia="en-US" w:bidi="ar-SA"/>
      </w:rPr>
    </w:lvl>
    <w:lvl w:ilvl="4" w:tplc="DCA678EA">
      <w:numFmt w:val="bullet"/>
      <w:lvlText w:val="•"/>
      <w:lvlJc w:val="left"/>
      <w:pPr>
        <w:ind w:left="1776" w:hanging="214"/>
      </w:pPr>
      <w:rPr>
        <w:lang w:val="es-ES" w:eastAsia="en-US" w:bidi="ar-SA"/>
      </w:rPr>
    </w:lvl>
    <w:lvl w:ilvl="5" w:tplc="0E320812">
      <w:numFmt w:val="bullet"/>
      <w:lvlText w:val="•"/>
      <w:lvlJc w:val="left"/>
      <w:pPr>
        <w:ind w:left="2140" w:hanging="214"/>
      </w:pPr>
      <w:rPr>
        <w:lang w:val="es-ES" w:eastAsia="en-US" w:bidi="ar-SA"/>
      </w:rPr>
    </w:lvl>
    <w:lvl w:ilvl="6" w:tplc="0268C0E6">
      <w:numFmt w:val="bullet"/>
      <w:lvlText w:val="•"/>
      <w:lvlJc w:val="left"/>
      <w:pPr>
        <w:ind w:left="2504" w:hanging="214"/>
      </w:pPr>
      <w:rPr>
        <w:lang w:val="es-ES" w:eastAsia="en-US" w:bidi="ar-SA"/>
      </w:rPr>
    </w:lvl>
    <w:lvl w:ilvl="7" w:tplc="DC820304">
      <w:numFmt w:val="bullet"/>
      <w:lvlText w:val="•"/>
      <w:lvlJc w:val="left"/>
      <w:pPr>
        <w:ind w:left="2868" w:hanging="214"/>
      </w:pPr>
      <w:rPr>
        <w:lang w:val="es-ES" w:eastAsia="en-US" w:bidi="ar-SA"/>
      </w:rPr>
    </w:lvl>
    <w:lvl w:ilvl="8" w:tplc="1DFCC0E0">
      <w:numFmt w:val="bullet"/>
      <w:lvlText w:val="•"/>
      <w:lvlJc w:val="left"/>
      <w:pPr>
        <w:ind w:left="3232" w:hanging="214"/>
      </w:pPr>
      <w:rPr>
        <w:lang w:val="es-ES" w:eastAsia="en-US" w:bidi="ar-SA"/>
      </w:rPr>
    </w:lvl>
  </w:abstractNum>
  <w:abstractNum w:abstractNumId="3" w15:restartNumberingAfterBreak="0">
    <w:nsid w:val="0B61414E"/>
    <w:multiLevelType w:val="hybridMultilevel"/>
    <w:tmpl w:val="12DA8E12"/>
    <w:lvl w:ilvl="0" w:tplc="E722AB24">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364EABB0">
      <w:numFmt w:val="bullet"/>
      <w:lvlText w:val="•"/>
      <w:lvlJc w:val="left"/>
      <w:pPr>
        <w:ind w:left="1077" w:hanging="360"/>
      </w:pPr>
      <w:rPr>
        <w:lang w:val="es-ES" w:eastAsia="en-US" w:bidi="ar-SA"/>
      </w:rPr>
    </w:lvl>
    <w:lvl w:ilvl="2" w:tplc="3108600E">
      <w:numFmt w:val="bullet"/>
      <w:lvlText w:val="•"/>
      <w:lvlJc w:val="left"/>
      <w:pPr>
        <w:ind w:left="1334" w:hanging="360"/>
      </w:pPr>
      <w:rPr>
        <w:lang w:val="es-ES" w:eastAsia="en-US" w:bidi="ar-SA"/>
      </w:rPr>
    </w:lvl>
    <w:lvl w:ilvl="3" w:tplc="60B0C7EE">
      <w:numFmt w:val="bullet"/>
      <w:lvlText w:val="•"/>
      <w:lvlJc w:val="left"/>
      <w:pPr>
        <w:ind w:left="1591" w:hanging="360"/>
      </w:pPr>
      <w:rPr>
        <w:lang w:val="es-ES" w:eastAsia="en-US" w:bidi="ar-SA"/>
      </w:rPr>
    </w:lvl>
    <w:lvl w:ilvl="4" w:tplc="6DDE55FC">
      <w:numFmt w:val="bullet"/>
      <w:lvlText w:val="•"/>
      <w:lvlJc w:val="left"/>
      <w:pPr>
        <w:ind w:left="1848" w:hanging="360"/>
      </w:pPr>
      <w:rPr>
        <w:lang w:val="es-ES" w:eastAsia="en-US" w:bidi="ar-SA"/>
      </w:rPr>
    </w:lvl>
    <w:lvl w:ilvl="5" w:tplc="F58A5038">
      <w:numFmt w:val="bullet"/>
      <w:lvlText w:val="•"/>
      <w:lvlJc w:val="left"/>
      <w:pPr>
        <w:ind w:left="2105" w:hanging="360"/>
      </w:pPr>
      <w:rPr>
        <w:lang w:val="es-ES" w:eastAsia="en-US" w:bidi="ar-SA"/>
      </w:rPr>
    </w:lvl>
    <w:lvl w:ilvl="6" w:tplc="EA22C580">
      <w:numFmt w:val="bullet"/>
      <w:lvlText w:val="•"/>
      <w:lvlJc w:val="left"/>
      <w:pPr>
        <w:ind w:left="2362" w:hanging="360"/>
      </w:pPr>
      <w:rPr>
        <w:lang w:val="es-ES" w:eastAsia="en-US" w:bidi="ar-SA"/>
      </w:rPr>
    </w:lvl>
    <w:lvl w:ilvl="7" w:tplc="7568735C">
      <w:numFmt w:val="bullet"/>
      <w:lvlText w:val="•"/>
      <w:lvlJc w:val="left"/>
      <w:pPr>
        <w:ind w:left="2619" w:hanging="360"/>
      </w:pPr>
      <w:rPr>
        <w:lang w:val="es-ES" w:eastAsia="en-US" w:bidi="ar-SA"/>
      </w:rPr>
    </w:lvl>
    <w:lvl w:ilvl="8" w:tplc="FB72C8CA">
      <w:numFmt w:val="bullet"/>
      <w:lvlText w:val="•"/>
      <w:lvlJc w:val="left"/>
      <w:pPr>
        <w:ind w:left="2876" w:hanging="360"/>
      </w:pPr>
      <w:rPr>
        <w:lang w:val="es-ES" w:eastAsia="en-US" w:bidi="ar-SA"/>
      </w:rPr>
    </w:lvl>
  </w:abstractNum>
  <w:abstractNum w:abstractNumId="4" w15:restartNumberingAfterBreak="0">
    <w:nsid w:val="0C1836FA"/>
    <w:multiLevelType w:val="hybridMultilevel"/>
    <w:tmpl w:val="83CCC7AC"/>
    <w:lvl w:ilvl="0" w:tplc="AAE48090">
      <w:numFmt w:val="bullet"/>
      <w:lvlText w:val="-"/>
      <w:lvlJc w:val="left"/>
      <w:pPr>
        <w:ind w:left="332" w:hanging="224"/>
      </w:pPr>
      <w:rPr>
        <w:rFonts w:ascii="Calibri" w:eastAsia="Calibri" w:hAnsi="Calibri" w:cs="Calibri" w:hint="default"/>
        <w:w w:val="100"/>
        <w:sz w:val="24"/>
        <w:szCs w:val="24"/>
        <w:lang w:val="es-ES" w:eastAsia="en-US" w:bidi="ar-SA"/>
      </w:rPr>
    </w:lvl>
    <w:lvl w:ilvl="1" w:tplc="7ABE6870">
      <w:numFmt w:val="bullet"/>
      <w:lvlText w:val="•"/>
      <w:lvlJc w:val="left"/>
      <w:pPr>
        <w:ind w:left="702" w:hanging="224"/>
      </w:pPr>
      <w:rPr>
        <w:lang w:val="es-ES" w:eastAsia="en-US" w:bidi="ar-SA"/>
      </w:rPr>
    </w:lvl>
    <w:lvl w:ilvl="2" w:tplc="291EBD94">
      <w:numFmt w:val="bullet"/>
      <w:lvlText w:val="•"/>
      <w:lvlJc w:val="left"/>
      <w:pPr>
        <w:ind w:left="1064" w:hanging="224"/>
      </w:pPr>
      <w:rPr>
        <w:lang w:val="es-ES" w:eastAsia="en-US" w:bidi="ar-SA"/>
      </w:rPr>
    </w:lvl>
    <w:lvl w:ilvl="3" w:tplc="67CEBA32">
      <w:numFmt w:val="bullet"/>
      <w:lvlText w:val="•"/>
      <w:lvlJc w:val="left"/>
      <w:pPr>
        <w:ind w:left="1426" w:hanging="224"/>
      </w:pPr>
      <w:rPr>
        <w:lang w:val="es-ES" w:eastAsia="en-US" w:bidi="ar-SA"/>
      </w:rPr>
    </w:lvl>
    <w:lvl w:ilvl="4" w:tplc="A39C1220">
      <w:numFmt w:val="bullet"/>
      <w:lvlText w:val="•"/>
      <w:lvlJc w:val="left"/>
      <w:pPr>
        <w:ind w:left="1788" w:hanging="224"/>
      </w:pPr>
      <w:rPr>
        <w:lang w:val="es-ES" w:eastAsia="en-US" w:bidi="ar-SA"/>
      </w:rPr>
    </w:lvl>
    <w:lvl w:ilvl="5" w:tplc="95F0C348">
      <w:numFmt w:val="bullet"/>
      <w:lvlText w:val="•"/>
      <w:lvlJc w:val="left"/>
      <w:pPr>
        <w:ind w:left="2150" w:hanging="224"/>
      </w:pPr>
      <w:rPr>
        <w:lang w:val="es-ES" w:eastAsia="en-US" w:bidi="ar-SA"/>
      </w:rPr>
    </w:lvl>
    <w:lvl w:ilvl="6" w:tplc="2C0ADBFC">
      <w:numFmt w:val="bullet"/>
      <w:lvlText w:val="•"/>
      <w:lvlJc w:val="left"/>
      <w:pPr>
        <w:ind w:left="2512" w:hanging="224"/>
      </w:pPr>
      <w:rPr>
        <w:lang w:val="es-ES" w:eastAsia="en-US" w:bidi="ar-SA"/>
      </w:rPr>
    </w:lvl>
    <w:lvl w:ilvl="7" w:tplc="CE8C6588">
      <w:numFmt w:val="bullet"/>
      <w:lvlText w:val="•"/>
      <w:lvlJc w:val="left"/>
      <w:pPr>
        <w:ind w:left="2874" w:hanging="224"/>
      </w:pPr>
      <w:rPr>
        <w:lang w:val="es-ES" w:eastAsia="en-US" w:bidi="ar-SA"/>
      </w:rPr>
    </w:lvl>
    <w:lvl w:ilvl="8" w:tplc="6F4C1834">
      <w:numFmt w:val="bullet"/>
      <w:lvlText w:val="•"/>
      <w:lvlJc w:val="left"/>
      <w:pPr>
        <w:ind w:left="3236" w:hanging="224"/>
      </w:pPr>
      <w:rPr>
        <w:lang w:val="es-ES" w:eastAsia="en-US" w:bidi="ar-SA"/>
      </w:rPr>
    </w:lvl>
  </w:abstractNum>
  <w:abstractNum w:abstractNumId="5" w15:restartNumberingAfterBreak="0">
    <w:nsid w:val="0C9A2771"/>
    <w:multiLevelType w:val="hybridMultilevel"/>
    <w:tmpl w:val="90C0AF68"/>
    <w:lvl w:ilvl="0" w:tplc="B9F8F1AA">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C546B0F8">
      <w:numFmt w:val="bullet"/>
      <w:lvlText w:val="•"/>
      <w:lvlJc w:val="left"/>
      <w:pPr>
        <w:ind w:left="1091" w:hanging="360"/>
      </w:pPr>
      <w:rPr>
        <w:lang w:val="es-ES" w:eastAsia="en-US" w:bidi="ar-SA"/>
      </w:rPr>
    </w:lvl>
    <w:lvl w:ilvl="2" w:tplc="98A2E838">
      <w:numFmt w:val="bullet"/>
      <w:lvlText w:val="•"/>
      <w:lvlJc w:val="left"/>
      <w:pPr>
        <w:ind w:left="1363" w:hanging="360"/>
      </w:pPr>
      <w:rPr>
        <w:lang w:val="es-ES" w:eastAsia="en-US" w:bidi="ar-SA"/>
      </w:rPr>
    </w:lvl>
    <w:lvl w:ilvl="3" w:tplc="3B20B4BE">
      <w:numFmt w:val="bullet"/>
      <w:lvlText w:val="•"/>
      <w:lvlJc w:val="left"/>
      <w:pPr>
        <w:ind w:left="1634" w:hanging="360"/>
      </w:pPr>
      <w:rPr>
        <w:lang w:val="es-ES" w:eastAsia="en-US" w:bidi="ar-SA"/>
      </w:rPr>
    </w:lvl>
    <w:lvl w:ilvl="4" w:tplc="6E06630C">
      <w:numFmt w:val="bullet"/>
      <w:lvlText w:val="•"/>
      <w:lvlJc w:val="left"/>
      <w:pPr>
        <w:ind w:left="1906" w:hanging="360"/>
      </w:pPr>
      <w:rPr>
        <w:lang w:val="es-ES" w:eastAsia="en-US" w:bidi="ar-SA"/>
      </w:rPr>
    </w:lvl>
    <w:lvl w:ilvl="5" w:tplc="1D2C67F4">
      <w:numFmt w:val="bullet"/>
      <w:lvlText w:val="•"/>
      <w:lvlJc w:val="left"/>
      <w:pPr>
        <w:ind w:left="2177" w:hanging="360"/>
      </w:pPr>
      <w:rPr>
        <w:lang w:val="es-ES" w:eastAsia="en-US" w:bidi="ar-SA"/>
      </w:rPr>
    </w:lvl>
    <w:lvl w:ilvl="6" w:tplc="84E24702">
      <w:numFmt w:val="bullet"/>
      <w:lvlText w:val="•"/>
      <w:lvlJc w:val="left"/>
      <w:pPr>
        <w:ind w:left="2449" w:hanging="360"/>
      </w:pPr>
      <w:rPr>
        <w:lang w:val="es-ES" w:eastAsia="en-US" w:bidi="ar-SA"/>
      </w:rPr>
    </w:lvl>
    <w:lvl w:ilvl="7" w:tplc="6386960A">
      <w:numFmt w:val="bullet"/>
      <w:lvlText w:val="•"/>
      <w:lvlJc w:val="left"/>
      <w:pPr>
        <w:ind w:left="2720" w:hanging="360"/>
      </w:pPr>
      <w:rPr>
        <w:lang w:val="es-ES" w:eastAsia="en-US" w:bidi="ar-SA"/>
      </w:rPr>
    </w:lvl>
    <w:lvl w:ilvl="8" w:tplc="A7109FD2">
      <w:numFmt w:val="bullet"/>
      <w:lvlText w:val="•"/>
      <w:lvlJc w:val="left"/>
      <w:pPr>
        <w:ind w:left="2992" w:hanging="360"/>
      </w:pPr>
      <w:rPr>
        <w:lang w:val="es-ES" w:eastAsia="en-US" w:bidi="ar-SA"/>
      </w:rPr>
    </w:lvl>
  </w:abstractNum>
  <w:abstractNum w:abstractNumId="6" w15:restartNumberingAfterBreak="0">
    <w:nsid w:val="11BE5DDC"/>
    <w:multiLevelType w:val="hybridMultilevel"/>
    <w:tmpl w:val="F9E2FDCE"/>
    <w:lvl w:ilvl="0" w:tplc="6E46D804">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92CAE53C">
      <w:numFmt w:val="bullet"/>
      <w:lvlText w:val="•"/>
      <w:lvlJc w:val="left"/>
      <w:pPr>
        <w:ind w:left="1077" w:hanging="360"/>
      </w:pPr>
      <w:rPr>
        <w:lang w:val="es-ES" w:eastAsia="en-US" w:bidi="ar-SA"/>
      </w:rPr>
    </w:lvl>
    <w:lvl w:ilvl="2" w:tplc="EB1C2AA0">
      <w:numFmt w:val="bullet"/>
      <w:lvlText w:val="•"/>
      <w:lvlJc w:val="left"/>
      <w:pPr>
        <w:ind w:left="1334" w:hanging="360"/>
      </w:pPr>
      <w:rPr>
        <w:lang w:val="es-ES" w:eastAsia="en-US" w:bidi="ar-SA"/>
      </w:rPr>
    </w:lvl>
    <w:lvl w:ilvl="3" w:tplc="A28C5B06">
      <w:numFmt w:val="bullet"/>
      <w:lvlText w:val="•"/>
      <w:lvlJc w:val="left"/>
      <w:pPr>
        <w:ind w:left="1591" w:hanging="360"/>
      </w:pPr>
      <w:rPr>
        <w:lang w:val="es-ES" w:eastAsia="en-US" w:bidi="ar-SA"/>
      </w:rPr>
    </w:lvl>
    <w:lvl w:ilvl="4" w:tplc="7A5A4E60">
      <w:numFmt w:val="bullet"/>
      <w:lvlText w:val="•"/>
      <w:lvlJc w:val="left"/>
      <w:pPr>
        <w:ind w:left="1848" w:hanging="360"/>
      </w:pPr>
      <w:rPr>
        <w:lang w:val="es-ES" w:eastAsia="en-US" w:bidi="ar-SA"/>
      </w:rPr>
    </w:lvl>
    <w:lvl w:ilvl="5" w:tplc="0E5C30FC">
      <w:numFmt w:val="bullet"/>
      <w:lvlText w:val="•"/>
      <w:lvlJc w:val="left"/>
      <w:pPr>
        <w:ind w:left="2105" w:hanging="360"/>
      </w:pPr>
      <w:rPr>
        <w:lang w:val="es-ES" w:eastAsia="en-US" w:bidi="ar-SA"/>
      </w:rPr>
    </w:lvl>
    <w:lvl w:ilvl="6" w:tplc="9D30CCF8">
      <w:numFmt w:val="bullet"/>
      <w:lvlText w:val="•"/>
      <w:lvlJc w:val="left"/>
      <w:pPr>
        <w:ind w:left="2362" w:hanging="360"/>
      </w:pPr>
      <w:rPr>
        <w:lang w:val="es-ES" w:eastAsia="en-US" w:bidi="ar-SA"/>
      </w:rPr>
    </w:lvl>
    <w:lvl w:ilvl="7" w:tplc="C0A87EF8">
      <w:numFmt w:val="bullet"/>
      <w:lvlText w:val="•"/>
      <w:lvlJc w:val="left"/>
      <w:pPr>
        <w:ind w:left="2619" w:hanging="360"/>
      </w:pPr>
      <w:rPr>
        <w:lang w:val="es-ES" w:eastAsia="en-US" w:bidi="ar-SA"/>
      </w:rPr>
    </w:lvl>
    <w:lvl w:ilvl="8" w:tplc="7E6A12A6">
      <w:numFmt w:val="bullet"/>
      <w:lvlText w:val="•"/>
      <w:lvlJc w:val="left"/>
      <w:pPr>
        <w:ind w:left="2876" w:hanging="360"/>
      </w:pPr>
      <w:rPr>
        <w:lang w:val="es-ES" w:eastAsia="en-US" w:bidi="ar-SA"/>
      </w:rPr>
    </w:lvl>
  </w:abstractNum>
  <w:abstractNum w:abstractNumId="7" w15:restartNumberingAfterBreak="0">
    <w:nsid w:val="174F76AE"/>
    <w:multiLevelType w:val="hybridMultilevel"/>
    <w:tmpl w:val="9A427E0C"/>
    <w:lvl w:ilvl="0" w:tplc="0F209784">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2BB8ACB0">
      <w:numFmt w:val="bullet"/>
      <w:lvlText w:val="•"/>
      <w:lvlJc w:val="left"/>
      <w:pPr>
        <w:ind w:left="1077" w:hanging="360"/>
      </w:pPr>
      <w:rPr>
        <w:lang w:val="es-ES" w:eastAsia="en-US" w:bidi="ar-SA"/>
      </w:rPr>
    </w:lvl>
    <w:lvl w:ilvl="2" w:tplc="59C42146">
      <w:numFmt w:val="bullet"/>
      <w:lvlText w:val="•"/>
      <w:lvlJc w:val="left"/>
      <w:pPr>
        <w:ind w:left="1334" w:hanging="360"/>
      </w:pPr>
      <w:rPr>
        <w:lang w:val="es-ES" w:eastAsia="en-US" w:bidi="ar-SA"/>
      </w:rPr>
    </w:lvl>
    <w:lvl w:ilvl="3" w:tplc="CE506FF2">
      <w:numFmt w:val="bullet"/>
      <w:lvlText w:val="•"/>
      <w:lvlJc w:val="left"/>
      <w:pPr>
        <w:ind w:left="1591" w:hanging="360"/>
      </w:pPr>
      <w:rPr>
        <w:lang w:val="es-ES" w:eastAsia="en-US" w:bidi="ar-SA"/>
      </w:rPr>
    </w:lvl>
    <w:lvl w:ilvl="4" w:tplc="147A13CE">
      <w:numFmt w:val="bullet"/>
      <w:lvlText w:val="•"/>
      <w:lvlJc w:val="left"/>
      <w:pPr>
        <w:ind w:left="1848" w:hanging="360"/>
      </w:pPr>
      <w:rPr>
        <w:lang w:val="es-ES" w:eastAsia="en-US" w:bidi="ar-SA"/>
      </w:rPr>
    </w:lvl>
    <w:lvl w:ilvl="5" w:tplc="46F49342">
      <w:numFmt w:val="bullet"/>
      <w:lvlText w:val="•"/>
      <w:lvlJc w:val="left"/>
      <w:pPr>
        <w:ind w:left="2105" w:hanging="360"/>
      </w:pPr>
      <w:rPr>
        <w:lang w:val="es-ES" w:eastAsia="en-US" w:bidi="ar-SA"/>
      </w:rPr>
    </w:lvl>
    <w:lvl w:ilvl="6" w:tplc="D5D02B68">
      <w:numFmt w:val="bullet"/>
      <w:lvlText w:val="•"/>
      <w:lvlJc w:val="left"/>
      <w:pPr>
        <w:ind w:left="2362" w:hanging="360"/>
      </w:pPr>
      <w:rPr>
        <w:lang w:val="es-ES" w:eastAsia="en-US" w:bidi="ar-SA"/>
      </w:rPr>
    </w:lvl>
    <w:lvl w:ilvl="7" w:tplc="903245D2">
      <w:numFmt w:val="bullet"/>
      <w:lvlText w:val="•"/>
      <w:lvlJc w:val="left"/>
      <w:pPr>
        <w:ind w:left="2619" w:hanging="360"/>
      </w:pPr>
      <w:rPr>
        <w:lang w:val="es-ES" w:eastAsia="en-US" w:bidi="ar-SA"/>
      </w:rPr>
    </w:lvl>
    <w:lvl w:ilvl="8" w:tplc="FB929740">
      <w:numFmt w:val="bullet"/>
      <w:lvlText w:val="•"/>
      <w:lvlJc w:val="left"/>
      <w:pPr>
        <w:ind w:left="2876" w:hanging="360"/>
      </w:pPr>
      <w:rPr>
        <w:lang w:val="es-ES" w:eastAsia="en-US" w:bidi="ar-SA"/>
      </w:rPr>
    </w:lvl>
  </w:abstractNum>
  <w:abstractNum w:abstractNumId="8" w15:restartNumberingAfterBreak="0">
    <w:nsid w:val="193E05C1"/>
    <w:multiLevelType w:val="hybridMultilevel"/>
    <w:tmpl w:val="FF88B9A8"/>
    <w:lvl w:ilvl="0" w:tplc="00A03518">
      <w:numFmt w:val="bullet"/>
      <w:lvlText w:val="-"/>
      <w:lvlJc w:val="left"/>
      <w:pPr>
        <w:ind w:left="320" w:hanging="224"/>
      </w:pPr>
      <w:rPr>
        <w:rFonts w:ascii="Calibri" w:eastAsia="Calibri" w:hAnsi="Calibri" w:cs="Calibri" w:hint="default"/>
        <w:w w:val="100"/>
        <w:sz w:val="24"/>
        <w:szCs w:val="24"/>
        <w:lang w:val="es-ES" w:eastAsia="en-US" w:bidi="ar-SA"/>
      </w:rPr>
    </w:lvl>
    <w:lvl w:ilvl="1" w:tplc="4E6ABDFA">
      <w:numFmt w:val="bullet"/>
      <w:lvlText w:val="•"/>
      <w:lvlJc w:val="left"/>
      <w:pPr>
        <w:ind w:left="684" w:hanging="224"/>
      </w:pPr>
      <w:rPr>
        <w:lang w:val="es-ES" w:eastAsia="en-US" w:bidi="ar-SA"/>
      </w:rPr>
    </w:lvl>
    <w:lvl w:ilvl="2" w:tplc="C5DAB4A2">
      <w:numFmt w:val="bullet"/>
      <w:lvlText w:val="•"/>
      <w:lvlJc w:val="left"/>
      <w:pPr>
        <w:ind w:left="1048" w:hanging="224"/>
      </w:pPr>
      <w:rPr>
        <w:lang w:val="es-ES" w:eastAsia="en-US" w:bidi="ar-SA"/>
      </w:rPr>
    </w:lvl>
    <w:lvl w:ilvl="3" w:tplc="6058AB66">
      <w:numFmt w:val="bullet"/>
      <w:lvlText w:val="•"/>
      <w:lvlJc w:val="left"/>
      <w:pPr>
        <w:ind w:left="1412" w:hanging="224"/>
      </w:pPr>
      <w:rPr>
        <w:lang w:val="es-ES" w:eastAsia="en-US" w:bidi="ar-SA"/>
      </w:rPr>
    </w:lvl>
    <w:lvl w:ilvl="4" w:tplc="E19008DA">
      <w:numFmt w:val="bullet"/>
      <w:lvlText w:val="•"/>
      <w:lvlJc w:val="left"/>
      <w:pPr>
        <w:ind w:left="1776" w:hanging="224"/>
      </w:pPr>
      <w:rPr>
        <w:lang w:val="es-ES" w:eastAsia="en-US" w:bidi="ar-SA"/>
      </w:rPr>
    </w:lvl>
    <w:lvl w:ilvl="5" w:tplc="D7C089BC">
      <w:numFmt w:val="bullet"/>
      <w:lvlText w:val="•"/>
      <w:lvlJc w:val="left"/>
      <w:pPr>
        <w:ind w:left="2140" w:hanging="224"/>
      </w:pPr>
      <w:rPr>
        <w:lang w:val="es-ES" w:eastAsia="en-US" w:bidi="ar-SA"/>
      </w:rPr>
    </w:lvl>
    <w:lvl w:ilvl="6" w:tplc="6F4AE1F6">
      <w:numFmt w:val="bullet"/>
      <w:lvlText w:val="•"/>
      <w:lvlJc w:val="left"/>
      <w:pPr>
        <w:ind w:left="2504" w:hanging="224"/>
      </w:pPr>
      <w:rPr>
        <w:lang w:val="es-ES" w:eastAsia="en-US" w:bidi="ar-SA"/>
      </w:rPr>
    </w:lvl>
    <w:lvl w:ilvl="7" w:tplc="1EB21176">
      <w:numFmt w:val="bullet"/>
      <w:lvlText w:val="•"/>
      <w:lvlJc w:val="left"/>
      <w:pPr>
        <w:ind w:left="2868" w:hanging="224"/>
      </w:pPr>
      <w:rPr>
        <w:lang w:val="es-ES" w:eastAsia="en-US" w:bidi="ar-SA"/>
      </w:rPr>
    </w:lvl>
    <w:lvl w:ilvl="8" w:tplc="5228277C">
      <w:numFmt w:val="bullet"/>
      <w:lvlText w:val="•"/>
      <w:lvlJc w:val="left"/>
      <w:pPr>
        <w:ind w:left="3232" w:hanging="224"/>
      </w:pPr>
      <w:rPr>
        <w:lang w:val="es-ES" w:eastAsia="en-US" w:bidi="ar-SA"/>
      </w:rPr>
    </w:lvl>
  </w:abstractNum>
  <w:abstractNum w:abstractNumId="9" w15:restartNumberingAfterBreak="0">
    <w:nsid w:val="1AA305EA"/>
    <w:multiLevelType w:val="hybridMultilevel"/>
    <w:tmpl w:val="1D28DCD2"/>
    <w:lvl w:ilvl="0" w:tplc="E30E171E">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1E2E372C">
      <w:numFmt w:val="bullet"/>
      <w:lvlText w:val="•"/>
      <w:lvlJc w:val="left"/>
      <w:pPr>
        <w:ind w:left="1091" w:hanging="360"/>
      </w:pPr>
      <w:rPr>
        <w:lang w:val="es-ES" w:eastAsia="en-US" w:bidi="ar-SA"/>
      </w:rPr>
    </w:lvl>
    <w:lvl w:ilvl="2" w:tplc="25CC46C6">
      <w:numFmt w:val="bullet"/>
      <w:lvlText w:val="•"/>
      <w:lvlJc w:val="left"/>
      <w:pPr>
        <w:ind w:left="1363" w:hanging="360"/>
      </w:pPr>
      <w:rPr>
        <w:lang w:val="es-ES" w:eastAsia="en-US" w:bidi="ar-SA"/>
      </w:rPr>
    </w:lvl>
    <w:lvl w:ilvl="3" w:tplc="A9E2D08E">
      <w:numFmt w:val="bullet"/>
      <w:lvlText w:val="•"/>
      <w:lvlJc w:val="left"/>
      <w:pPr>
        <w:ind w:left="1634" w:hanging="360"/>
      </w:pPr>
      <w:rPr>
        <w:lang w:val="es-ES" w:eastAsia="en-US" w:bidi="ar-SA"/>
      </w:rPr>
    </w:lvl>
    <w:lvl w:ilvl="4" w:tplc="5888EB9A">
      <w:numFmt w:val="bullet"/>
      <w:lvlText w:val="•"/>
      <w:lvlJc w:val="left"/>
      <w:pPr>
        <w:ind w:left="1906" w:hanging="360"/>
      </w:pPr>
      <w:rPr>
        <w:lang w:val="es-ES" w:eastAsia="en-US" w:bidi="ar-SA"/>
      </w:rPr>
    </w:lvl>
    <w:lvl w:ilvl="5" w:tplc="09660094">
      <w:numFmt w:val="bullet"/>
      <w:lvlText w:val="•"/>
      <w:lvlJc w:val="left"/>
      <w:pPr>
        <w:ind w:left="2177" w:hanging="360"/>
      </w:pPr>
      <w:rPr>
        <w:lang w:val="es-ES" w:eastAsia="en-US" w:bidi="ar-SA"/>
      </w:rPr>
    </w:lvl>
    <w:lvl w:ilvl="6" w:tplc="67FC983A">
      <w:numFmt w:val="bullet"/>
      <w:lvlText w:val="•"/>
      <w:lvlJc w:val="left"/>
      <w:pPr>
        <w:ind w:left="2449" w:hanging="360"/>
      </w:pPr>
      <w:rPr>
        <w:lang w:val="es-ES" w:eastAsia="en-US" w:bidi="ar-SA"/>
      </w:rPr>
    </w:lvl>
    <w:lvl w:ilvl="7" w:tplc="908E0EB2">
      <w:numFmt w:val="bullet"/>
      <w:lvlText w:val="•"/>
      <w:lvlJc w:val="left"/>
      <w:pPr>
        <w:ind w:left="2720" w:hanging="360"/>
      </w:pPr>
      <w:rPr>
        <w:lang w:val="es-ES" w:eastAsia="en-US" w:bidi="ar-SA"/>
      </w:rPr>
    </w:lvl>
    <w:lvl w:ilvl="8" w:tplc="04B04A4C">
      <w:numFmt w:val="bullet"/>
      <w:lvlText w:val="•"/>
      <w:lvlJc w:val="left"/>
      <w:pPr>
        <w:ind w:left="2992" w:hanging="360"/>
      </w:pPr>
      <w:rPr>
        <w:lang w:val="es-ES" w:eastAsia="en-US" w:bidi="ar-SA"/>
      </w:rPr>
    </w:lvl>
  </w:abstractNum>
  <w:abstractNum w:abstractNumId="10" w15:restartNumberingAfterBreak="0">
    <w:nsid w:val="1AAE2982"/>
    <w:multiLevelType w:val="hybridMultilevel"/>
    <w:tmpl w:val="46940256"/>
    <w:lvl w:ilvl="0" w:tplc="D5721EDE">
      <w:numFmt w:val="bullet"/>
      <w:lvlText w:val="-"/>
      <w:lvlJc w:val="left"/>
      <w:pPr>
        <w:ind w:left="332" w:hanging="224"/>
      </w:pPr>
      <w:rPr>
        <w:rFonts w:ascii="Calibri" w:eastAsia="Calibri" w:hAnsi="Calibri" w:cs="Calibri" w:hint="default"/>
        <w:w w:val="100"/>
        <w:sz w:val="24"/>
        <w:szCs w:val="24"/>
        <w:lang w:val="es-ES" w:eastAsia="en-US" w:bidi="ar-SA"/>
      </w:rPr>
    </w:lvl>
    <w:lvl w:ilvl="1" w:tplc="7D56EB86">
      <w:numFmt w:val="bullet"/>
      <w:lvlText w:val="•"/>
      <w:lvlJc w:val="left"/>
      <w:pPr>
        <w:ind w:left="702" w:hanging="224"/>
      </w:pPr>
      <w:rPr>
        <w:lang w:val="es-ES" w:eastAsia="en-US" w:bidi="ar-SA"/>
      </w:rPr>
    </w:lvl>
    <w:lvl w:ilvl="2" w:tplc="FC9EE65C">
      <w:numFmt w:val="bullet"/>
      <w:lvlText w:val="•"/>
      <w:lvlJc w:val="left"/>
      <w:pPr>
        <w:ind w:left="1064" w:hanging="224"/>
      </w:pPr>
      <w:rPr>
        <w:lang w:val="es-ES" w:eastAsia="en-US" w:bidi="ar-SA"/>
      </w:rPr>
    </w:lvl>
    <w:lvl w:ilvl="3" w:tplc="EA6A9F60">
      <w:numFmt w:val="bullet"/>
      <w:lvlText w:val="•"/>
      <w:lvlJc w:val="left"/>
      <w:pPr>
        <w:ind w:left="1426" w:hanging="224"/>
      </w:pPr>
      <w:rPr>
        <w:lang w:val="es-ES" w:eastAsia="en-US" w:bidi="ar-SA"/>
      </w:rPr>
    </w:lvl>
    <w:lvl w:ilvl="4" w:tplc="D2488E54">
      <w:numFmt w:val="bullet"/>
      <w:lvlText w:val="•"/>
      <w:lvlJc w:val="left"/>
      <w:pPr>
        <w:ind w:left="1788" w:hanging="224"/>
      </w:pPr>
      <w:rPr>
        <w:lang w:val="es-ES" w:eastAsia="en-US" w:bidi="ar-SA"/>
      </w:rPr>
    </w:lvl>
    <w:lvl w:ilvl="5" w:tplc="C8FC0848">
      <w:numFmt w:val="bullet"/>
      <w:lvlText w:val="•"/>
      <w:lvlJc w:val="left"/>
      <w:pPr>
        <w:ind w:left="2150" w:hanging="224"/>
      </w:pPr>
      <w:rPr>
        <w:lang w:val="es-ES" w:eastAsia="en-US" w:bidi="ar-SA"/>
      </w:rPr>
    </w:lvl>
    <w:lvl w:ilvl="6" w:tplc="0224A248">
      <w:numFmt w:val="bullet"/>
      <w:lvlText w:val="•"/>
      <w:lvlJc w:val="left"/>
      <w:pPr>
        <w:ind w:left="2512" w:hanging="224"/>
      </w:pPr>
      <w:rPr>
        <w:lang w:val="es-ES" w:eastAsia="en-US" w:bidi="ar-SA"/>
      </w:rPr>
    </w:lvl>
    <w:lvl w:ilvl="7" w:tplc="32EE4F40">
      <w:numFmt w:val="bullet"/>
      <w:lvlText w:val="•"/>
      <w:lvlJc w:val="left"/>
      <w:pPr>
        <w:ind w:left="2874" w:hanging="224"/>
      </w:pPr>
      <w:rPr>
        <w:lang w:val="es-ES" w:eastAsia="en-US" w:bidi="ar-SA"/>
      </w:rPr>
    </w:lvl>
    <w:lvl w:ilvl="8" w:tplc="989044F4">
      <w:numFmt w:val="bullet"/>
      <w:lvlText w:val="•"/>
      <w:lvlJc w:val="left"/>
      <w:pPr>
        <w:ind w:left="3236" w:hanging="224"/>
      </w:pPr>
      <w:rPr>
        <w:lang w:val="es-ES" w:eastAsia="en-US" w:bidi="ar-SA"/>
      </w:rPr>
    </w:lvl>
  </w:abstractNum>
  <w:abstractNum w:abstractNumId="11" w15:restartNumberingAfterBreak="0">
    <w:nsid w:val="21684B08"/>
    <w:multiLevelType w:val="hybridMultilevel"/>
    <w:tmpl w:val="827E8736"/>
    <w:lvl w:ilvl="0" w:tplc="AE3A8260">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1B48DE0E">
      <w:start w:val="1"/>
      <w:numFmt w:val="lowerLetter"/>
      <w:lvlText w:val="%2)"/>
      <w:lvlJc w:val="left"/>
      <w:pPr>
        <w:ind w:left="828" w:hanging="319"/>
      </w:pPr>
      <w:rPr>
        <w:rFonts w:ascii="Times New Roman" w:eastAsia="Times New Roman" w:hAnsi="Times New Roman" w:cs="Times New Roman" w:hint="default"/>
        <w:spacing w:val="-1"/>
        <w:w w:val="100"/>
        <w:sz w:val="24"/>
        <w:szCs w:val="24"/>
        <w:lang w:val="es-ES" w:eastAsia="en-US" w:bidi="ar-SA"/>
      </w:rPr>
    </w:lvl>
    <w:lvl w:ilvl="2" w:tplc="6D7E1A14">
      <w:numFmt w:val="bullet"/>
      <w:lvlText w:val="•"/>
      <w:lvlJc w:val="left"/>
      <w:pPr>
        <w:ind w:left="1363" w:hanging="319"/>
      </w:pPr>
      <w:rPr>
        <w:lang w:val="es-ES" w:eastAsia="en-US" w:bidi="ar-SA"/>
      </w:rPr>
    </w:lvl>
    <w:lvl w:ilvl="3" w:tplc="E26E1B2C">
      <w:numFmt w:val="bullet"/>
      <w:lvlText w:val="•"/>
      <w:lvlJc w:val="left"/>
      <w:pPr>
        <w:ind w:left="1634" w:hanging="319"/>
      </w:pPr>
      <w:rPr>
        <w:lang w:val="es-ES" w:eastAsia="en-US" w:bidi="ar-SA"/>
      </w:rPr>
    </w:lvl>
    <w:lvl w:ilvl="4" w:tplc="E4B46904">
      <w:numFmt w:val="bullet"/>
      <w:lvlText w:val="•"/>
      <w:lvlJc w:val="left"/>
      <w:pPr>
        <w:ind w:left="1906" w:hanging="319"/>
      </w:pPr>
      <w:rPr>
        <w:lang w:val="es-ES" w:eastAsia="en-US" w:bidi="ar-SA"/>
      </w:rPr>
    </w:lvl>
    <w:lvl w:ilvl="5" w:tplc="5E6A7BC6">
      <w:numFmt w:val="bullet"/>
      <w:lvlText w:val="•"/>
      <w:lvlJc w:val="left"/>
      <w:pPr>
        <w:ind w:left="2177" w:hanging="319"/>
      </w:pPr>
      <w:rPr>
        <w:lang w:val="es-ES" w:eastAsia="en-US" w:bidi="ar-SA"/>
      </w:rPr>
    </w:lvl>
    <w:lvl w:ilvl="6" w:tplc="DDC46048">
      <w:numFmt w:val="bullet"/>
      <w:lvlText w:val="•"/>
      <w:lvlJc w:val="left"/>
      <w:pPr>
        <w:ind w:left="2449" w:hanging="319"/>
      </w:pPr>
      <w:rPr>
        <w:lang w:val="es-ES" w:eastAsia="en-US" w:bidi="ar-SA"/>
      </w:rPr>
    </w:lvl>
    <w:lvl w:ilvl="7" w:tplc="16F4E160">
      <w:numFmt w:val="bullet"/>
      <w:lvlText w:val="•"/>
      <w:lvlJc w:val="left"/>
      <w:pPr>
        <w:ind w:left="2720" w:hanging="319"/>
      </w:pPr>
      <w:rPr>
        <w:lang w:val="es-ES" w:eastAsia="en-US" w:bidi="ar-SA"/>
      </w:rPr>
    </w:lvl>
    <w:lvl w:ilvl="8" w:tplc="DE2E05F0">
      <w:numFmt w:val="bullet"/>
      <w:lvlText w:val="•"/>
      <w:lvlJc w:val="left"/>
      <w:pPr>
        <w:ind w:left="2992" w:hanging="319"/>
      </w:pPr>
      <w:rPr>
        <w:lang w:val="es-ES" w:eastAsia="en-US" w:bidi="ar-SA"/>
      </w:rPr>
    </w:lvl>
  </w:abstractNum>
  <w:abstractNum w:abstractNumId="12" w15:restartNumberingAfterBreak="0">
    <w:nsid w:val="26722425"/>
    <w:multiLevelType w:val="hybridMultilevel"/>
    <w:tmpl w:val="9CBE9F9A"/>
    <w:lvl w:ilvl="0" w:tplc="4538EE96">
      <w:numFmt w:val="bullet"/>
      <w:lvlText w:val="-"/>
      <w:lvlJc w:val="left"/>
      <w:pPr>
        <w:ind w:left="320" w:hanging="214"/>
      </w:pPr>
      <w:rPr>
        <w:rFonts w:ascii="Calibri" w:eastAsia="Calibri" w:hAnsi="Calibri" w:cs="Calibri" w:hint="default"/>
        <w:w w:val="100"/>
        <w:sz w:val="24"/>
        <w:szCs w:val="24"/>
        <w:lang w:val="es-ES" w:eastAsia="en-US" w:bidi="ar-SA"/>
      </w:rPr>
    </w:lvl>
    <w:lvl w:ilvl="1" w:tplc="825A3734">
      <w:numFmt w:val="bullet"/>
      <w:lvlText w:val="•"/>
      <w:lvlJc w:val="left"/>
      <w:pPr>
        <w:ind w:left="684" w:hanging="214"/>
      </w:pPr>
      <w:rPr>
        <w:lang w:val="es-ES" w:eastAsia="en-US" w:bidi="ar-SA"/>
      </w:rPr>
    </w:lvl>
    <w:lvl w:ilvl="2" w:tplc="3F10C9AE">
      <w:numFmt w:val="bullet"/>
      <w:lvlText w:val="•"/>
      <w:lvlJc w:val="left"/>
      <w:pPr>
        <w:ind w:left="1048" w:hanging="214"/>
      </w:pPr>
      <w:rPr>
        <w:lang w:val="es-ES" w:eastAsia="en-US" w:bidi="ar-SA"/>
      </w:rPr>
    </w:lvl>
    <w:lvl w:ilvl="3" w:tplc="A57865FA">
      <w:numFmt w:val="bullet"/>
      <w:lvlText w:val="•"/>
      <w:lvlJc w:val="left"/>
      <w:pPr>
        <w:ind w:left="1412" w:hanging="214"/>
      </w:pPr>
      <w:rPr>
        <w:lang w:val="es-ES" w:eastAsia="en-US" w:bidi="ar-SA"/>
      </w:rPr>
    </w:lvl>
    <w:lvl w:ilvl="4" w:tplc="85DA8DCE">
      <w:numFmt w:val="bullet"/>
      <w:lvlText w:val="•"/>
      <w:lvlJc w:val="left"/>
      <w:pPr>
        <w:ind w:left="1776" w:hanging="214"/>
      </w:pPr>
      <w:rPr>
        <w:lang w:val="es-ES" w:eastAsia="en-US" w:bidi="ar-SA"/>
      </w:rPr>
    </w:lvl>
    <w:lvl w:ilvl="5" w:tplc="B6D2262C">
      <w:numFmt w:val="bullet"/>
      <w:lvlText w:val="•"/>
      <w:lvlJc w:val="left"/>
      <w:pPr>
        <w:ind w:left="2140" w:hanging="214"/>
      </w:pPr>
      <w:rPr>
        <w:lang w:val="es-ES" w:eastAsia="en-US" w:bidi="ar-SA"/>
      </w:rPr>
    </w:lvl>
    <w:lvl w:ilvl="6" w:tplc="ADCE53AA">
      <w:numFmt w:val="bullet"/>
      <w:lvlText w:val="•"/>
      <w:lvlJc w:val="left"/>
      <w:pPr>
        <w:ind w:left="2504" w:hanging="214"/>
      </w:pPr>
      <w:rPr>
        <w:lang w:val="es-ES" w:eastAsia="en-US" w:bidi="ar-SA"/>
      </w:rPr>
    </w:lvl>
    <w:lvl w:ilvl="7" w:tplc="081EB586">
      <w:numFmt w:val="bullet"/>
      <w:lvlText w:val="•"/>
      <w:lvlJc w:val="left"/>
      <w:pPr>
        <w:ind w:left="2868" w:hanging="214"/>
      </w:pPr>
      <w:rPr>
        <w:lang w:val="es-ES" w:eastAsia="en-US" w:bidi="ar-SA"/>
      </w:rPr>
    </w:lvl>
    <w:lvl w:ilvl="8" w:tplc="6E682162">
      <w:numFmt w:val="bullet"/>
      <w:lvlText w:val="•"/>
      <w:lvlJc w:val="left"/>
      <w:pPr>
        <w:ind w:left="3232" w:hanging="214"/>
      </w:pPr>
      <w:rPr>
        <w:lang w:val="es-ES" w:eastAsia="en-US" w:bidi="ar-SA"/>
      </w:rPr>
    </w:lvl>
  </w:abstractNum>
  <w:abstractNum w:abstractNumId="13" w15:restartNumberingAfterBreak="0">
    <w:nsid w:val="28851FCB"/>
    <w:multiLevelType w:val="hybridMultilevel"/>
    <w:tmpl w:val="F2A2D9F4"/>
    <w:lvl w:ilvl="0" w:tplc="121AB2E8">
      <w:numFmt w:val="bullet"/>
      <w:lvlText w:val="-"/>
      <w:lvlJc w:val="left"/>
      <w:pPr>
        <w:ind w:left="320" w:hanging="224"/>
      </w:pPr>
      <w:rPr>
        <w:rFonts w:ascii="Calibri" w:eastAsia="Calibri" w:hAnsi="Calibri" w:cs="Calibri" w:hint="default"/>
        <w:w w:val="100"/>
        <w:sz w:val="24"/>
        <w:szCs w:val="24"/>
        <w:lang w:val="es-ES" w:eastAsia="en-US" w:bidi="ar-SA"/>
      </w:rPr>
    </w:lvl>
    <w:lvl w:ilvl="1" w:tplc="1632B9FA">
      <w:numFmt w:val="bullet"/>
      <w:lvlText w:val="•"/>
      <w:lvlJc w:val="left"/>
      <w:pPr>
        <w:ind w:left="684" w:hanging="224"/>
      </w:pPr>
      <w:rPr>
        <w:lang w:val="es-ES" w:eastAsia="en-US" w:bidi="ar-SA"/>
      </w:rPr>
    </w:lvl>
    <w:lvl w:ilvl="2" w:tplc="42EE30BA">
      <w:numFmt w:val="bullet"/>
      <w:lvlText w:val="•"/>
      <w:lvlJc w:val="left"/>
      <w:pPr>
        <w:ind w:left="1048" w:hanging="224"/>
      </w:pPr>
      <w:rPr>
        <w:lang w:val="es-ES" w:eastAsia="en-US" w:bidi="ar-SA"/>
      </w:rPr>
    </w:lvl>
    <w:lvl w:ilvl="3" w:tplc="C8143308">
      <w:numFmt w:val="bullet"/>
      <w:lvlText w:val="•"/>
      <w:lvlJc w:val="left"/>
      <w:pPr>
        <w:ind w:left="1412" w:hanging="224"/>
      </w:pPr>
      <w:rPr>
        <w:lang w:val="es-ES" w:eastAsia="en-US" w:bidi="ar-SA"/>
      </w:rPr>
    </w:lvl>
    <w:lvl w:ilvl="4" w:tplc="0AE8AD30">
      <w:numFmt w:val="bullet"/>
      <w:lvlText w:val="•"/>
      <w:lvlJc w:val="left"/>
      <w:pPr>
        <w:ind w:left="1776" w:hanging="224"/>
      </w:pPr>
      <w:rPr>
        <w:lang w:val="es-ES" w:eastAsia="en-US" w:bidi="ar-SA"/>
      </w:rPr>
    </w:lvl>
    <w:lvl w:ilvl="5" w:tplc="8DDCA122">
      <w:numFmt w:val="bullet"/>
      <w:lvlText w:val="•"/>
      <w:lvlJc w:val="left"/>
      <w:pPr>
        <w:ind w:left="2140" w:hanging="224"/>
      </w:pPr>
      <w:rPr>
        <w:lang w:val="es-ES" w:eastAsia="en-US" w:bidi="ar-SA"/>
      </w:rPr>
    </w:lvl>
    <w:lvl w:ilvl="6" w:tplc="2BBAEDBC">
      <w:numFmt w:val="bullet"/>
      <w:lvlText w:val="•"/>
      <w:lvlJc w:val="left"/>
      <w:pPr>
        <w:ind w:left="2504" w:hanging="224"/>
      </w:pPr>
      <w:rPr>
        <w:lang w:val="es-ES" w:eastAsia="en-US" w:bidi="ar-SA"/>
      </w:rPr>
    </w:lvl>
    <w:lvl w:ilvl="7" w:tplc="02B67B30">
      <w:numFmt w:val="bullet"/>
      <w:lvlText w:val="•"/>
      <w:lvlJc w:val="left"/>
      <w:pPr>
        <w:ind w:left="2868" w:hanging="224"/>
      </w:pPr>
      <w:rPr>
        <w:lang w:val="es-ES" w:eastAsia="en-US" w:bidi="ar-SA"/>
      </w:rPr>
    </w:lvl>
    <w:lvl w:ilvl="8" w:tplc="85A0A9AC">
      <w:numFmt w:val="bullet"/>
      <w:lvlText w:val="•"/>
      <w:lvlJc w:val="left"/>
      <w:pPr>
        <w:ind w:left="3232" w:hanging="224"/>
      </w:pPr>
      <w:rPr>
        <w:lang w:val="es-ES" w:eastAsia="en-US" w:bidi="ar-SA"/>
      </w:rPr>
    </w:lvl>
  </w:abstractNum>
  <w:abstractNum w:abstractNumId="14" w15:restartNumberingAfterBreak="0">
    <w:nsid w:val="2BCD1189"/>
    <w:multiLevelType w:val="hybridMultilevel"/>
    <w:tmpl w:val="BF827B70"/>
    <w:lvl w:ilvl="0" w:tplc="0A7EF0D0">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155859A8">
      <w:numFmt w:val="bullet"/>
      <w:lvlText w:val="•"/>
      <w:lvlJc w:val="left"/>
      <w:pPr>
        <w:ind w:left="1091" w:hanging="360"/>
      </w:pPr>
      <w:rPr>
        <w:lang w:val="es-ES" w:eastAsia="en-US" w:bidi="ar-SA"/>
      </w:rPr>
    </w:lvl>
    <w:lvl w:ilvl="2" w:tplc="F9A8694C">
      <w:numFmt w:val="bullet"/>
      <w:lvlText w:val="•"/>
      <w:lvlJc w:val="left"/>
      <w:pPr>
        <w:ind w:left="1363" w:hanging="360"/>
      </w:pPr>
      <w:rPr>
        <w:lang w:val="es-ES" w:eastAsia="en-US" w:bidi="ar-SA"/>
      </w:rPr>
    </w:lvl>
    <w:lvl w:ilvl="3" w:tplc="226857DC">
      <w:numFmt w:val="bullet"/>
      <w:lvlText w:val="•"/>
      <w:lvlJc w:val="left"/>
      <w:pPr>
        <w:ind w:left="1634" w:hanging="360"/>
      </w:pPr>
      <w:rPr>
        <w:lang w:val="es-ES" w:eastAsia="en-US" w:bidi="ar-SA"/>
      </w:rPr>
    </w:lvl>
    <w:lvl w:ilvl="4" w:tplc="F428517E">
      <w:numFmt w:val="bullet"/>
      <w:lvlText w:val="•"/>
      <w:lvlJc w:val="left"/>
      <w:pPr>
        <w:ind w:left="1906" w:hanging="360"/>
      </w:pPr>
      <w:rPr>
        <w:lang w:val="es-ES" w:eastAsia="en-US" w:bidi="ar-SA"/>
      </w:rPr>
    </w:lvl>
    <w:lvl w:ilvl="5" w:tplc="CBBEF412">
      <w:numFmt w:val="bullet"/>
      <w:lvlText w:val="•"/>
      <w:lvlJc w:val="left"/>
      <w:pPr>
        <w:ind w:left="2177" w:hanging="360"/>
      </w:pPr>
      <w:rPr>
        <w:lang w:val="es-ES" w:eastAsia="en-US" w:bidi="ar-SA"/>
      </w:rPr>
    </w:lvl>
    <w:lvl w:ilvl="6" w:tplc="E0BACE64">
      <w:numFmt w:val="bullet"/>
      <w:lvlText w:val="•"/>
      <w:lvlJc w:val="left"/>
      <w:pPr>
        <w:ind w:left="2449" w:hanging="360"/>
      </w:pPr>
      <w:rPr>
        <w:lang w:val="es-ES" w:eastAsia="en-US" w:bidi="ar-SA"/>
      </w:rPr>
    </w:lvl>
    <w:lvl w:ilvl="7" w:tplc="79F2B492">
      <w:numFmt w:val="bullet"/>
      <w:lvlText w:val="•"/>
      <w:lvlJc w:val="left"/>
      <w:pPr>
        <w:ind w:left="2720" w:hanging="360"/>
      </w:pPr>
      <w:rPr>
        <w:lang w:val="es-ES" w:eastAsia="en-US" w:bidi="ar-SA"/>
      </w:rPr>
    </w:lvl>
    <w:lvl w:ilvl="8" w:tplc="CE7633F6">
      <w:numFmt w:val="bullet"/>
      <w:lvlText w:val="•"/>
      <w:lvlJc w:val="left"/>
      <w:pPr>
        <w:ind w:left="2992" w:hanging="360"/>
      </w:pPr>
      <w:rPr>
        <w:lang w:val="es-ES" w:eastAsia="en-US" w:bidi="ar-SA"/>
      </w:rPr>
    </w:lvl>
  </w:abstractNum>
  <w:abstractNum w:abstractNumId="15" w15:restartNumberingAfterBreak="0">
    <w:nsid w:val="33DE0624"/>
    <w:multiLevelType w:val="hybridMultilevel"/>
    <w:tmpl w:val="8966958E"/>
    <w:lvl w:ilvl="0" w:tplc="CD280790">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8E8ABEF0">
      <w:numFmt w:val="bullet"/>
      <w:lvlText w:val="•"/>
      <w:lvlJc w:val="left"/>
      <w:pPr>
        <w:ind w:left="1091" w:hanging="360"/>
      </w:pPr>
      <w:rPr>
        <w:lang w:val="es-ES" w:eastAsia="en-US" w:bidi="ar-SA"/>
      </w:rPr>
    </w:lvl>
    <w:lvl w:ilvl="2" w:tplc="B6D0F2D4">
      <w:numFmt w:val="bullet"/>
      <w:lvlText w:val="•"/>
      <w:lvlJc w:val="left"/>
      <w:pPr>
        <w:ind w:left="1363" w:hanging="360"/>
      </w:pPr>
      <w:rPr>
        <w:lang w:val="es-ES" w:eastAsia="en-US" w:bidi="ar-SA"/>
      </w:rPr>
    </w:lvl>
    <w:lvl w:ilvl="3" w:tplc="6C986C96">
      <w:numFmt w:val="bullet"/>
      <w:lvlText w:val="•"/>
      <w:lvlJc w:val="left"/>
      <w:pPr>
        <w:ind w:left="1634" w:hanging="360"/>
      </w:pPr>
      <w:rPr>
        <w:lang w:val="es-ES" w:eastAsia="en-US" w:bidi="ar-SA"/>
      </w:rPr>
    </w:lvl>
    <w:lvl w:ilvl="4" w:tplc="1AA6DC72">
      <w:numFmt w:val="bullet"/>
      <w:lvlText w:val="•"/>
      <w:lvlJc w:val="left"/>
      <w:pPr>
        <w:ind w:left="1906" w:hanging="360"/>
      </w:pPr>
      <w:rPr>
        <w:lang w:val="es-ES" w:eastAsia="en-US" w:bidi="ar-SA"/>
      </w:rPr>
    </w:lvl>
    <w:lvl w:ilvl="5" w:tplc="8C46FCCE">
      <w:numFmt w:val="bullet"/>
      <w:lvlText w:val="•"/>
      <w:lvlJc w:val="left"/>
      <w:pPr>
        <w:ind w:left="2177" w:hanging="360"/>
      </w:pPr>
      <w:rPr>
        <w:lang w:val="es-ES" w:eastAsia="en-US" w:bidi="ar-SA"/>
      </w:rPr>
    </w:lvl>
    <w:lvl w:ilvl="6" w:tplc="23DAA570">
      <w:numFmt w:val="bullet"/>
      <w:lvlText w:val="•"/>
      <w:lvlJc w:val="left"/>
      <w:pPr>
        <w:ind w:left="2449" w:hanging="360"/>
      </w:pPr>
      <w:rPr>
        <w:lang w:val="es-ES" w:eastAsia="en-US" w:bidi="ar-SA"/>
      </w:rPr>
    </w:lvl>
    <w:lvl w:ilvl="7" w:tplc="5E344DBA">
      <w:numFmt w:val="bullet"/>
      <w:lvlText w:val="•"/>
      <w:lvlJc w:val="left"/>
      <w:pPr>
        <w:ind w:left="2720" w:hanging="360"/>
      </w:pPr>
      <w:rPr>
        <w:lang w:val="es-ES" w:eastAsia="en-US" w:bidi="ar-SA"/>
      </w:rPr>
    </w:lvl>
    <w:lvl w:ilvl="8" w:tplc="2B6AEFB8">
      <w:numFmt w:val="bullet"/>
      <w:lvlText w:val="•"/>
      <w:lvlJc w:val="left"/>
      <w:pPr>
        <w:ind w:left="2992" w:hanging="360"/>
      </w:pPr>
      <w:rPr>
        <w:lang w:val="es-ES" w:eastAsia="en-US" w:bidi="ar-SA"/>
      </w:rPr>
    </w:lvl>
  </w:abstractNum>
  <w:abstractNum w:abstractNumId="16" w15:restartNumberingAfterBreak="0">
    <w:nsid w:val="35AD5C8A"/>
    <w:multiLevelType w:val="hybridMultilevel"/>
    <w:tmpl w:val="CBEA5B92"/>
    <w:lvl w:ilvl="0" w:tplc="4F666D60">
      <w:numFmt w:val="bullet"/>
      <w:lvlText w:val="-"/>
      <w:lvlJc w:val="left"/>
      <w:pPr>
        <w:ind w:left="332" w:hanging="224"/>
      </w:pPr>
      <w:rPr>
        <w:rFonts w:ascii="Calibri" w:eastAsia="Calibri" w:hAnsi="Calibri" w:cs="Calibri" w:hint="default"/>
        <w:w w:val="100"/>
        <w:sz w:val="24"/>
        <w:szCs w:val="24"/>
        <w:lang w:val="es-ES" w:eastAsia="en-US" w:bidi="ar-SA"/>
      </w:rPr>
    </w:lvl>
    <w:lvl w:ilvl="1" w:tplc="65B6729C">
      <w:numFmt w:val="bullet"/>
      <w:lvlText w:val="•"/>
      <w:lvlJc w:val="left"/>
      <w:pPr>
        <w:ind w:left="702" w:hanging="224"/>
      </w:pPr>
      <w:rPr>
        <w:lang w:val="es-ES" w:eastAsia="en-US" w:bidi="ar-SA"/>
      </w:rPr>
    </w:lvl>
    <w:lvl w:ilvl="2" w:tplc="318E6F22">
      <w:numFmt w:val="bullet"/>
      <w:lvlText w:val="•"/>
      <w:lvlJc w:val="left"/>
      <w:pPr>
        <w:ind w:left="1064" w:hanging="224"/>
      </w:pPr>
      <w:rPr>
        <w:lang w:val="es-ES" w:eastAsia="en-US" w:bidi="ar-SA"/>
      </w:rPr>
    </w:lvl>
    <w:lvl w:ilvl="3" w:tplc="CBE46434">
      <w:numFmt w:val="bullet"/>
      <w:lvlText w:val="•"/>
      <w:lvlJc w:val="left"/>
      <w:pPr>
        <w:ind w:left="1426" w:hanging="224"/>
      </w:pPr>
      <w:rPr>
        <w:lang w:val="es-ES" w:eastAsia="en-US" w:bidi="ar-SA"/>
      </w:rPr>
    </w:lvl>
    <w:lvl w:ilvl="4" w:tplc="A906CDF2">
      <w:numFmt w:val="bullet"/>
      <w:lvlText w:val="•"/>
      <w:lvlJc w:val="left"/>
      <w:pPr>
        <w:ind w:left="1788" w:hanging="224"/>
      </w:pPr>
      <w:rPr>
        <w:lang w:val="es-ES" w:eastAsia="en-US" w:bidi="ar-SA"/>
      </w:rPr>
    </w:lvl>
    <w:lvl w:ilvl="5" w:tplc="62D600F0">
      <w:numFmt w:val="bullet"/>
      <w:lvlText w:val="•"/>
      <w:lvlJc w:val="left"/>
      <w:pPr>
        <w:ind w:left="2150" w:hanging="224"/>
      </w:pPr>
      <w:rPr>
        <w:lang w:val="es-ES" w:eastAsia="en-US" w:bidi="ar-SA"/>
      </w:rPr>
    </w:lvl>
    <w:lvl w:ilvl="6" w:tplc="6FD49384">
      <w:numFmt w:val="bullet"/>
      <w:lvlText w:val="•"/>
      <w:lvlJc w:val="left"/>
      <w:pPr>
        <w:ind w:left="2512" w:hanging="224"/>
      </w:pPr>
      <w:rPr>
        <w:lang w:val="es-ES" w:eastAsia="en-US" w:bidi="ar-SA"/>
      </w:rPr>
    </w:lvl>
    <w:lvl w:ilvl="7" w:tplc="94F64F6A">
      <w:numFmt w:val="bullet"/>
      <w:lvlText w:val="•"/>
      <w:lvlJc w:val="left"/>
      <w:pPr>
        <w:ind w:left="2874" w:hanging="224"/>
      </w:pPr>
      <w:rPr>
        <w:lang w:val="es-ES" w:eastAsia="en-US" w:bidi="ar-SA"/>
      </w:rPr>
    </w:lvl>
    <w:lvl w:ilvl="8" w:tplc="FA80A7E6">
      <w:numFmt w:val="bullet"/>
      <w:lvlText w:val="•"/>
      <w:lvlJc w:val="left"/>
      <w:pPr>
        <w:ind w:left="3236" w:hanging="224"/>
      </w:pPr>
      <w:rPr>
        <w:lang w:val="es-ES" w:eastAsia="en-US" w:bidi="ar-SA"/>
      </w:rPr>
    </w:lvl>
  </w:abstractNum>
  <w:abstractNum w:abstractNumId="17" w15:restartNumberingAfterBreak="0">
    <w:nsid w:val="35CA5479"/>
    <w:multiLevelType w:val="hybridMultilevel"/>
    <w:tmpl w:val="DCB25292"/>
    <w:lvl w:ilvl="0" w:tplc="12A25258">
      <w:numFmt w:val="bullet"/>
      <w:lvlText w:val="-"/>
      <w:lvlJc w:val="left"/>
      <w:pPr>
        <w:ind w:left="320" w:hanging="286"/>
      </w:pPr>
      <w:rPr>
        <w:rFonts w:ascii="Calibri" w:eastAsia="Calibri" w:hAnsi="Calibri" w:cs="Calibri" w:hint="default"/>
        <w:w w:val="100"/>
        <w:sz w:val="24"/>
        <w:szCs w:val="24"/>
        <w:lang w:val="es-ES" w:eastAsia="en-US" w:bidi="ar-SA"/>
      </w:rPr>
    </w:lvl>
    <w:lvl w:ilvl="1" w:tplc="7BC0F23C">
      <w:numFmt w:val="bullet"/>
      <w:lvlText w:val="•"/>
      <w:lvlJc w:val="left"/>
      <w:pPr>
        <w:ind w:left="684" w:hanging="286"/>
      </w:pPr>
      <w:rPr>
        <w:lang w:val="es-ES" w:eastAsia="en-US" w:bidi="ar-SA"/>
      </w:rPr>
    </w:lvl>
    <w:lvl w:ilvl="2" w:tplc="80E40E54">
      <w:numFmt w:val="bullet"/>
      <w:lvlText w:val="•"/>
      <w:lvlJc w:val="left"/>
      <w:pPr>
        <w:ind w:left="1048" w:hanging="286"/>
      </w:pPr>
      <w:rPr>
        <w:lang w:val="es-ES" w:eastAsia="en-US" w:bidi="ar-SA"/>
      </w:rPr>
    </w:lvl>
    <w:lvl w:ilvl="3" w:tplc="F630452C">
      <w:numFmt w:val="bullet"/>
      <w:lvlText w:val="•"/>
      <w:lvlJc w:val="left"/>
      <w:pPr>
        <w:ind w:left="1412" w:hanging="286"/>
      </w:pPr>
      <w:rPr>
        <w:lang w:val="es-ES" w:eastAsia="en-US" w:bidi="ar-SA"/>
      </w:rPr>
    </w:lvl>
    <w:lvl w:ilvl="4" w:tplc="2BAEFFAC">
      <w:numFmt w:val="bullet"/>
      <w:lvlText w:val="•"/>
      <w:lvlJc w:val="left"/>
      <w:pPr>
        <w:ind w:left="1776" w:hanging="286"/>
      </w:pPr>
      <w:rPr>
        <w:lang w:val="es-ES" w:eastAsia="en-US" w:bidi="ar-SA"/>
      </w:rPr>
    </w:lvl>
    <w:lvl w:ilvl="5" w:tplc="33966BF4">
      <w:numFmt w:val="bullet"/>
      <w:lvlText w:val="•"/>
      <w:lvlJc w:val="left"/>
      <w:pPr>
        <w:ind w:left="2140" w:hanging="286"/>
      </w:pPr>
      <w:rPr>
        <w:lang w:val="es-ES" w:eastAsia="en-US" w:bidi="ar-SA"/>
      </w:rPr>
    </w:lvl>
    <w:lvl w:ilvl="6" w:tplc="C6BA5066">
      <w:numFmt w:val="bullet"/>
      <w:lvlText w:val="•"/>
      <w:lvlJc w:val="left"/>
      <w:pPr>
        <w:ind w:left="2504" w:hanging="286"/>
      </w:pPr>
      <w:rPr>
        <w:lang w:val="es-ES" w:eastAsia="en-US" w:bidi="ar-SA"/>
      </w:rPr>
    </w:lvl>
    <w:lvl w:ilvl="7" w:tplc="E446E370">
      <w:numFmt w:val="bullet"/>
      <w:lvlText w:val="•"/>
      <w:lvlJc w:val="left"/>
      <w:pPr>
        <w:ind w:left="2868" w:hanging="286"/>
      </w:pPr>
      <w:rPr>
        <w:lang w:val="es-ES" w:eastAsia="en-US" w:bidi="ar-SA"/>
      </w:rPr>
    </w:lvl>
    <w:lvl w:ilvl="8" w:tplc="BEC41702">
      <w:numFmt w:val="bullet"/>
      <w:lvlText w:val="•"/>
      <w:lvlJc w:val="left"/>
      <w:pPr>
        <w:ind w:left="3232" w:hanging="286"/>
      </w:pPr>
      <w:rPr>
        <w:lang w:val="es-ES" w:eastAsia="en-US" w:bidi="ar-SA"/>
      </w:rPr>
    </w:lvl>
  </w:abstractNum>
  <w:abstractNum w:abstractNumId="18" w15:restartNumberingAfterBreak="0">
    <w:nsid w:val="3B334CE9"/>
    <w:multiLevelType w:val="hybridMultilevel"/>
    <w:tmpl w:val="9582184A"/>
    <w:lvl w:ilvl="0" w:tplc="166C7156">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5FFA9628">
      <w:numFmt w:val="bullet"/>
      <w:lvlText w:val="•"/>
      <w:lvlJc w:val="left"/>
      <w:pPr>
        <w:ind w:left="1077" w:hanging="360"/>
      </w:pPr>
      <w:rPr>
        <w:lang w:val="es-ES" w:eastAsia="en-US" w:bidi="ar-SA"/>
      </w:rPr>
    </w:lvl>
    <w:lvl w:ilvl="2" w:tplc="141A9C92">
      <w:numFmt w:val="bullet"/>
      <w:lvlText w:val="•"/>
      <w:lvlJc w:val="left"/>
      <w:pPr>
        <w:ind w:left="1334" w:hanging="360"/>
      </w:pPr>
      <w:rPr>
        <w:lang w:val="es-ES" w:eastAsia="en-US" w:bidi="ar-SA"/>
      </w:rPr>
    </w:lvl>
    <w:lvl w:ilvl="3" w:tplc="1756985A">
      <w:numFmt w:val="bullet"/>
      <w:lvlText w:val="•"/>
      <w:lvlJc w:val="left"/>
      <w:pPr>
        <w:ind w:left="1591" w:hanging="360"/>
      </w:pPr>
      <w:rPr>
        <w:lang w:val="es-ES" w:eastAsia="en-US" w:bidi="ar-SA"/>
      </w:rPr>
    </w:lvl>
    <w:lvl w:ilvl="4" w:tplc="2E06E48A">
      <w:numFmt w:val="bullet"/>
      <w:lvlText w:val="•"/>
      <w:lvlJc w:val="left"/>
      <w:pPr>
        <w:ind w:left="1848" w:hanging="360"/>
      </w:pPr>
      <w:rPr>
        <w:lang w:val="es-ES" w:eastAsia="en-US" w:bidi="ar-SA"/>
      </w:rPr>
    </w:lvl>
    <w:lvl w:ilvl="5" w:tplc="4906D756">
      <w:numFmt w:val="bullet"/>
      <w:lvlText w:val="•"/>
      <w:lvlJc w:val="left"/>
      <w:pPr>
        <w:ind w:left="2105" w:hanging="360"/>
      </w:pPr>
      <w:rPr>
        <w:lang w:val="es-ES" w:eastAsia="en-US" w:bidi="ar-SA"/>
      </w:rPr>
    </w:lvl>
    <w:lvl w:ilvl="6" w:tplc="8CA88920">
      <w:numFmt w:val="bullet"/>
      <w:lvlText w:val="•"/>
      <w:lvlJc w:val="left"/>
      <w:pPr>
        <w:ind w:left="2362" w:hanging="360"/>
      </w:pPr>
      <w:rPr>
        <w:lang w:val="es-ES" w:eastAsia="en-US" w:bidi="ar-SA"/>
      </w:rPr>
    </w:lvl>
    <w:lvl w:ilvl="7" w:tplc="33E2AED0">
      <w:numFmt w:val="bullet"/>
      <w:lvlText w:val="•"/>
      <w:lvlJc w:val="left"/>
      <w:pPr>
        <w:ind w:left="2619" w:hanging="360"/>
      </w:pPr>
      <w:rPr>
        <w:lang w:val="es-ES" w:eastAsia="en-US" w:bidi="ar-SA"/>
      </w:rPr>
    </w:lvl>
    <w:lvl w:ilvl="8" w:tplc="F2F64ED8">
      <w:numFmt w:val="bullet"/>
      <w:lvlText w:val="•"/>
      <w:lvlJc w:val="left"/>
      <w:pPr>
        <w:ind w:left="2876" w:hanging="360"/>
      </w:pPr>
      <w:rPr>
        <w:lang w:val="es-ES" w:eastAsia="en-US" w:bidi="ar-SA"/>
      </w:rPr>
    </w:lvl>
  </w:abstractNum>
  <w:abstractNum w:abstractNumId="19" w15:restartNumberingAfterBreak="0">
    <w:nsid w:val="3D441D4B"/>
    <w:multiLevelType w:val="hybridMultilevel"/>
    <w:tmpl w:val="62BE9E42"/>
    <w:lvl w:ilvl="0" w:tplc="240A000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0DD2D2C"/>
    <w:multiLevelType w:val="hybridMultilevel"/>
    <w:tmpl w:val="3F122410"/>
    <w:lvl w:ilvl="0" w:tplc="F92EF198">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EC703EFC">
      <w:numFmt w:val="bullet"/>
      <w:lvlText w:val="•"/>
      <w:lvlJc w:val="left"/>
      <w:pPr>
        <w:ind w:left="1077" w:hanging="360"/>
      </w:pPr>
      <w:rPr>
        <w:lang w:val="es-ES" w:eastAsia="en-US" w:bidi="ar-SA"/>
      </w:rPr>
    </w:lvl>
    <w:lvl w:ilvl="2" w:tplc="C1F09B3C">
      <w:numFmt w:val="bullet"/>
      <w:lvlText w:val="•"/>
      <w:lvlJc w:val="left"/>
      <w:pPr>
        <w:ind w:left="1334" w:hanging="360"/>
      </w:pPr>
      <w:rPr>
        <w:lang w:val="es-ES" w:eastAsia="en-US" w:bidi="ar-SA"/>
      </w:rPr>
    </w:lvl>
    <w:lvl w:ilvl="3" w:tplc="BA42F556">
      <w:numFmt w:val="bullet"/>
      <w:lvlText w:val="•"/>
      <w:lvlJc w:val="left"/>
      <w:pPr>
        <w:ind w:left="1591" w:hanging="360"/>
      </w:pPr>
      <w:rPr>
        <w:lang w:val="es-ES" w:eastAsia="en-US" w:bidi="ar-SA"/>
      </w:rPr>
    </w:lvl>
    <w:lvl w:ilvl="4" w:tplc="7EFE5E1E">
      <w:numFmt w:val="bullet"/>
      <w:lvlText w:val="•"/>
      <w:lvlJc w:val="left"/>
      <w:pPr>
        <w:ind w:left="1848" w:hanging="360"/>
      </w:pPr>
      <w:rPr>
        <w:lang w:val="es-ES" w:eastAsia="en-US" w:bidi="ar-SA"/>
      </w:rPr>
    </w:lvl>
    <w:lvl w:ilvl="5" w:tplc="3CF011E4">
      <w:numFmt w:val="bullet"/>
      <w:lvlText w:val="•"/>
      <w:lvlJc w:val="left"/>
      <w:pPr>
        <w:ind w:left="2105" w:hanging="360"/>
      </w:pPr>
      <w:rPr>
        <w:lang w:val="es-ES" w:eastAsia="en-US" w:bidi="ar-SA"/>
      </w:rPr>
    </w:lvl>
    <w:lvl w:ilvl="6" w:tplc="BC800948">
      <w:numFmt w:val="bullet"/>
      <w:lvlText w:val="•"/>
      <w:lvlJc w:val="left"/>
      <w:pPr>
        <w:ind w:left="2362" w:hanging="360"/>
      </w:pPr>
      <w:rPr>
        <w:lang w:val="es-ES" w:eastAsia="en-US" w:bidi="ar-SA"/>
      </w:rPr>
    </w:lvl>
    <w:lvl w:ilvl="7" w:tplc="5EF2DA7A">
      <w:numFmt w:val="bullet"/>
      <w:lvlText w:val="•"/>
      <w:lvlJc w:val="left"/>
      <w:pPr>
        <w:ind w:left="2619" w:hanging="360"/>
      </w:pPr>
      <w:rPr>
        <w:lang w:val="es-ES" w:eastAsia="en-US" w:bidi="ar-SA"/>
      </w:rPr>
    </w:lvl>
    <w:lvl w:ilvl="8" w:tplc="17FEE72E">
      <w:numFmt w:val="bullet"/>
      <w:lvlText w:val="•"/>
      <w:lvlJc w:val="left"/>
      <w:pPr>
        <w:ind w:left="2876" w:hanging="360"/>
      </w:pPr>
      <w:rPr>
        <w:lang w:val="es-ES" w:eastAsia="en-US" w:bidi="ar-SA"/>
      </w:rPr>
    </w:lvl>
  </w:abstractNum>
  <w:abstractNum w:abstractNumId="21" w15:restartNumberingAfterBreak="0">
    <w:nsid w:val="4D655B30"/>
    <w:multiLevelType w:val="multilevel"/>
    <w:tmpl w:val="168EC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305E9E"/>
    <w:multiLevelType w:val="hybridMultilevel"/>
    <w:tmpl w:val="55F40C20"/>
    <w:lvl w:ilvl="0" w:tplc="240A000F">
      <w:start w:val="1"/>
      <w:numFmt w:val="decimal"/>
      <w:lvlText w:val="%1."/>
      <w:lvlJc w:val="left"/>
      <w:pPr>
        <w:ind w:left="502"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3" w15:restartNumberingAfterBreak="0">
    <w:nsid w:val="50022BE5"/>
    <w:multiLevelType w:val="hybridMultilevel"/>
    <w:tmpl w:val="4A88A692"/>
    <w:lvl w:ilvl="0" w:tplc="D99CE4BC">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8362D67E">
      <w:numFmt w:val="bullet"/>
      <w:lvlText w:val="•"/>
      <w:lvlJc w:val="left"/>
      <w:pPr>
        <w:ind w:left="1091" w:hanging="360"/>
      </w:pPr>
      <w:rPr>
        <w:lang w:val="es-ES" w:eastAsia="en-US" w:bidi="ar-SA"/>
      </w:rPr>
    </w:lvl>
    <w:lvl w:ilvl="2" w:tplc="5356610C">
      <w:numFmt w:val="bullet"/>
      <w:lvlText w:val="•"/>
      <w:lvlJc w:val="left"/>
      <w:pPr>
        <w:ind w:left="1363" w:hanging="360"/>
      </w:pPr>
      <w:rPr>
        <w:lang w:val="es-ES" w:eastAsia="en-US" w:bidi="ar-SA"/>
      </w:rPr>
    </w:lvl>
    <w:lvl w:ilvl="3" w:tplc="9EE2E96C">
      <w:numFmt w:val="bullet"/>
      <w:lvlText w:val="•"/>
      <w:lvlJc w:val="left"/>
      <w:pPr>
        <w:ind w:left="1634" w:hanging="360"/>
      </w:pPr>
      <w:rPr>
        <w:lang w:val="es-ES" w:eastAsia="en-US" w:bidi="ar-SA"/>
      </w:rPr>
    </w:lvl>
    <w:lvl w:ilvl="4" w:tplc="77F8CB50">
      <w:numFmt w:val="bullet"/>
      <w:lvlText w:val="•"/>
      <w:lvlJc w:val="left"/>
      <w:pPr>
        <w:ind w:left="1906" w:hanging="360"/>
      </w:pPr>
      <w:rPr>
        <w:lang w:val="es-ES" w:eastAsia="en-US" w:bidi="ar-SA"/>
      </w:rPr>
    </w:lvl>
    <w:lvl w:ilvl="5" w:tplc="3FE240CC">
      <w:numFmt w:val="bullet"/>
      <w:lvlText w:val="•"/>
      <w:lvlJc w:val="left"/>
      <w:pPr>
        <w:ind w:left="2177" w:hanging="360"/>
      </w:pPr>
      <w:rPr>
        <w:lang w:val="es-ES" w:eastAsia="en-US" w:bidi="ar-SA"/>
      </w:rPr>
    </w:lvl>
    <w:lvl w:ilvl="6" w:tplc="4BCADE48">
      <w:numFmt w:val="bullet"/>
      <w:lvlText w:val="•"/>
      <w:lvlJc w:val="left"/>
      <w:pPr>
        <w:ind w:left="2449" w:hanging="360"/>
      </w:pPr>
      <w:rPr>
        <w:lang w:val="es-ES" w:eastAsia="en-US" w:bidi="ar-SA"/>
      </w:rPr>
    </w:lvl>
    <w:lvl w:ilvl="7" w:tplc="321CDBA0">
      <w:numFmt w:val="bullet"/>
      <w:lvlText w:val="•"/>
      <w:lvlJc w:val="left"/>
      <w:pPr>
        <w:ind w:left="2720" w:hanging="360"/>
      </w:pPr>
      <w:rPr>
        <w:lang w:val="es-ES" w:eastAsia="en-US" w:bidi="ar-SA"/>
      </w:rPr>
    </w:lvl>
    <w:lvl w:ilvl="8" w:tplc="35D6DB46">
      <w:numFmt w:val="bullet"/>
      <w:lvlText w:val="•"/>
      <w:lvlJc w:val="left"/>
      <w:pPr>
        <w:ind w:left="2992" w:hanging="360"/>
      </w:pPr>
      <w:rPr>
        <w:lang w:val="es-ES" w:eastAsia="en-US" w:bidi="ar-SA"/>
      </w:rPr>
    </w:lvl>
  </w:abstractNum>
  <w:abstractNum w:abstractNumId="24" w15:restartNumberingAfterBreak="0">
    <w:nsid w:val="55AB3658"/>
    <w:multiLevelType w:val="multilevel"/>
    <w:tmpl w:val="0100B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7441AA5"/>
    <w:multiLevelType w:val="hybridMultilevel"/>
    <w:tmpl w:val="B156CBAA"/>
    <w:lvl w:ilvl="0" w:tplc="B81A3920">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D0EC91DC">
      <w:numFmt w:val="bullet"/>
      <w:lvlText w:val="•"/>
      <w:lvlJc w:val="left"/>
      <w:pPr>
        <w:ind w:left="1091" w:hanging="360"/>
      </w:pPr>
      <w:rPr>
        <w:lang w:val="es-ES" w:eastAsia="en-US" w:bidi="ar-SA"/>
      </w:rPr>
    </w:lvl>
    <w:lvl w:ilvl="2" w:tplc="315E345E">
      <w:numFmt w:val="bullet"/>
      <w:lvlText w:val="•"/>
      <w:lvlJc w:val="left"/>
      <w:pPr>
        <w:ind w:left="1363" w:hanging="360"/>
      </w:pPr>
      <w:rPr>
        <w:lang w:val="es-ES" w:eastAsia="en-US" w:bidi="ar-SA"/>
      </w:rPr>
    </w:lvl>
    <w:lvl w:ilvl="3" w:tplc="4776EC42">
      <w:numFmt w:val="bullet"/>
      <w:lvlText w:val="•"/>
      <w:lvlJc w:val="left"/>
      <w:pPr>
        <w:ind w:left="1634" w:hanging="360"/>
      </w:pPr>
      <w:rPr>
        <w:lang w:val="es-ES" w:eastAsia="en-US" w:bidi="ar-SA"/>
      </w:rPr>
    </w:lvl>
    <w:lvl w:ilvl="4" w:tplc="2882697A">
      <w:numFmt w:val="bullet"/>
      <w:lvlText w:val="•"/>
      <w:lvlJc w:val="left"/>
      <w:pPr>
        <w:ind w:left="1906" w:hanging="360"/>
      </w:pPr>
      <w:rPr>
        <w:lang w:val="es-ES" w:eastAsia="en-US" w:bidi="ar-SA"/>
      </w:rPr>
    </w:lvl>
    <w:lvl w:ilvl="5" w:tplc="F43AFD28">
      <w:numFmt w:val="bullet"/>
      <w:lvlText w:val="•"/>
      <w:lvlJc w:val="left"/>
      <w:pPr>
        <w:ind w:left="2177" w:hanging="360"/>
      </w:pPr>
      <w:rPr>
        <w:lang w:val="es-ES" w:eastAsia="en-US" w:bidi="ar-SA"/>
      </w:rPr>
    </w:lvl>
    <w:lvl w:ilvl="6" w:tplc="A05C77CC">
      <w:numFmt w:val="bullet"/>
      <w:lvlText w:val="•"/>
      <w:lvlJc w:val="left"/>
      <w:pPr>
        <w:ind w:left="2449" w:hanging="360"/>
      </w:pPr>
      <w:rPr>
        <w:lang w:val="es-ES" w:eastAsia="en-US" w:bidi="ar-SA"/>
      </w:rPr>
    </w:lvl>
    <w:lvl w:ilvl="7" w:tplc="406855EC">
      <w:numFmt w:val="bullet"/>
      <w:lvlText w:val="•"/>
      <w:lvlJc w:val="left"/>
      <w:pPr>
        <w:ind w:left="2720" w:hanging="360"/>
      </w:pPr>
      <w:rPr>
        <w:lang w:val="es-ES" w:eastAsia="en-US" w:bidi="ar-SA"/>
      </w:rPr>
    </w:lvl>
    <w:lvl w:ilvl="8" w:tplc="A2F0460C">
      <w:numFmt w:val="bullet"/>
      <w:lvlText w:val="•"/>
      <w:lvlJc w:val="left"/>
      <w:pPr>
        <w:ind w:left="2992" w:hanging="360"/>
      </w:pPr>
      <w:rPr>
        <w:lang w:val="es-ES" w:eastAsia="en-US" w:bidi="ar-SA"/>
      </w:rPr>
    </w:lvl>
  </w:abstractNum>
  <w:abstractNum w:abstractNumId="26" w15:restartNumberingAfterBreak="0">
    <w:nsid w:val="5C382420"/>
    <w:multiLevelType w:val="hybridMultilevel"/>
    <w:tmpl w:val="477E006A"/>
    <w:lvl w:ilvl="0" w:tplc="4EF8D502">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35DC8210">
      <w:numFmt w:val="bullet"/>
      <w:lvlText w:val="•"/>
      <w:lvlJc w:val="left"/>
      <w:pPr>
        <w:ind w:left="1091" w:hanging="360"/>
      </w:pPr>
      <w:rPr>
        <w:lang w:val="es-ES" w:eastAsia="en-US" w:bidi="ar-SA"/>
      </w:rPr>
    </w:lvl>
    <w:lvl w:ilvl="2" w:tplc="049C490C">
      <w:numFmt w:val="bullet"/>
      <w:lvlText w:val="•"/>
      <w:lvlJc w:val="left"/>
      <w:pPr>
        <w:ind w:left="1363" w:hanging="360"/>
      </w:pPr>
      <w:rPr>
        <w:lang w:val="es-ES" w:eastAsia="en-US" w:bidi="ar-SA"/>
      </w:rPr>
    </w:lvl>
    <w:lvl w:ilvl="3" w:tplc="D9006104">
      <w:numFmt w:val="bullet"/>
      <w:lvlText w:val="•"/>
      <w:lvlJc w:val="left"/>
      <w:pPr>
        <w:ind w:left="1634" w:hanging="360"/>
      </w:pPr>
      <w:rPr>
        <w:lang w:val="es-ES" w:eastAsia="en-US" w:bidi="ar-SA"/>
      </w:rPr>
    </w:lvl>
    <w:lvl w:ilvl="4" w:tplc="2DB02678">
      <w:numFmt w:val="bullet"/>
      <w:lvlText w:val="•"/>
      <w:lvlJc w:val="left"/>
      <w:pPr>
        <w:ind w:left="1906" w:hanging="360"/>
      </w:pPr>
      <w:rPr>
        <w:lang w:val="es-ES" w:eastAsia="en-US" w:bidi="ar-SA"/>
      </w:rPr>
    </w:lvl>
    <w:lvl w:ilvl="5" w:tplc="46409878">
      <w:numFmt w:val="bullet"/>
      <w:lvlText w:val="•"/>
      <w:lvlJc w:val="left"/>
      <w:pPr>
        <w:ind w:left="2177" w:hanging="360"/>
      </w:pPr>
      <w:rPr>
        <w:lang w:val="es-ES" w:eastAsia="en-US" w:bidi="ar-SA"/>
      </w:rPr>
    </w:lvl>
    <w:lvl w:ilvl="6" w:tplc="CDC215DE">
      <w:numFmt w:val="bullet"/>
      <w:lvlText w:val="•"/>
      <w:lvlJc w:val="left"/>
      <w:pPr>
        <w:ind w:left="2449" w:hanging="360"/>
      </w:pPr>
      <w:rPr>
        <w:lang w:val="es-ES" w:eastAsia="en-US" w:bidi="ar-SA"/>
      </w:rPr>
    </w:lvl>
    <w:lvl w:ilvl="7" w:tplc="28B278D0">
      <w:numFmt w:val="bullet"/>
      <w:lvlText w:val="•"/>
      <w:lvlJc w:val="left"/>
      <w:pPr>
        <w:ind w:left="2720" w:hanging="360"/>
      </w:pPr>
      <w:rPr>
        <w:lang w:val="es-ES" w:eastAsia="en-US" w:bidi="ar-SA"/>
      </w:rPr>
    </w:lvl>
    <w:lvl w:ilvl="8" w:tplc="4BF2F62C">
      <w:numFmt w:val="bullet"/>
      <w:lvlText w:val="•"/>
      <w:lvlJc w:val="left"/>
      <w:pPr>
        <w:ind w:left="2992" w:hanging="360"/>
      </w:pPr>
      <w:rPr>
        <w:lang w:val="es-ES" w:eastAsia="en-US" w:bidi="ar-SA"/>
      </w:rPr>
    </w:lvl>
  </w:abstractNum>
  <w:abstractNum w:abstractNumId="27" w15:restartNumberingAfterBreak="0">
    <w:nsid w:val="5F755215"/>
    <w:multiLevelType w:val="hybridMultilevel"/>
    <w:tmpl w:val="481CA99E"/>
    <w:lvl w:ilvl="0" w:tplc="8048AE9A">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F05477F4">
      <w:numFmt w:val="bullet"/>
      <w:lvlText w:val="•"/>
      <w:lvlJc w:val="left"/>
      <w:pPr>
        <w:ind w:left="1091" w:hanging="360"/>
      </w:pPr>
      <w:rPr>
        <w:lang w:val="es-ES" w:eastAsia="en-US" w:bidi="ar-SA"/>
      </w:rPr>
    </w:lvl>
    <w:lvl w:ilvl="2" w:tplc="54DE64C4">
      <w:numFmt w:val="bullet"/>
      <w:lvlText w:val="•"/>
      <w:lvlJc w:val="left"/>
      <w:pPr>
        <w:ind w:left="1363" w:hanging="360"/>
      </w:pPr>
      <w:rPr>
        <w:lang w:val="es-ES" w:eastAsia="en-US" w:bidi="ar-SA"/>
      </w:rPr>
    </w:lvl>
    <w:lvl w:ilvl="3" w:tplc="21229330">
      <w:numFmt w:val="bullet"/>
      <w:lvlText w:val="•"/>
      <w:lvlJc w:val="left"/>
      <w:pPr>
        <w:ind w:left="1634" w:hanging="360"/>
      </w:pPr>
      <w:rPr>
        <w:lang w:val="es-ES" w:eastAsia="en-US" w:bidi="ar-SA"/>
      </w:rPr>
    </w:lvl>
    <w:lvl w:ilvl="4" w:tplc="0AE2DFBA">
      <w:numFmt w:val="bullet"/>
      <w:lvlText w:val="•"/>
      <w:lvlJc w:val="left"/>
      <w:pPr>
        <w:ind w:left="1906" w:hanging="360"/>
      </w:pPr>
      <w:rPr>
        <w:lang w:val="es-ES" w:eastAsia="en-US" w:bidi="ar-SA"/>
      </w:rPr>
    </w:lvl>
    <w:lvl w:ilvl="5" w:tplc="92B6EC0A">
      <w:numFmt w:val="bullet"/>
      <w:lvlText w:val="•"/>
      <w:lvlJc w:val="left"/>
      <w:pPr>
        <w:ind w:left="2177" w:hanging="360"/>
      </w:pPr>
      <w:rPr>
        <w:lang w:val="es-ES" w:eastAsia="en-US" w:bidi="ar-SA"/>
      </w:rPr>
    </w:lvl>
    <w:lvl w:ilvl="6" w:tplc="FBCC5F8C">
      <w:numFmt w:val="bullet"/>
      <w:lvlText w:val="•"/>
      <w:lvlJc w:val="left"/>
      <w:pPr>
        <w:ind w:left="2449" w:hanging="360"/>
      </w:pPr>
      <w:rPr>
        <w:lang w:val="es-ES" w:eastAsia="en-US" w:bidi="ar-SA"/>
      </w:rPr>
    </w:lvl>
    <w:lvl w:ilvl="7" w:tplc="F5484C26">
      <w:numFmt w:val="bullet"/>
      <w:lvlText w:val="•"/>
      <w:lvlJc w:val="left"/>
      <w:pPr>
        <w:ind w:left="2720" w:hanging="360"/>
      </w:pPr>
      <w:rPr>
        <w:lang w:val="es-ES" w:eastAsia="en-US" w:bidi="ar-SA"/>
      </w:rPr>
    </w:lvl>
    <w:lvl w:ilvl="8" w:tplc="C7826218">
      <w:numFmt w:val="bullet"/>
      <w:lvlText w:val="•"/>
      <w:lvlJc w:val="left"/>
      <w:pPr>
        <w:ind w:left="2992" w:hanging="360"/>
      </w:pPr>
      <w:rPr>
        <w:lang w:val="es-ES" w:eastAsia="en-US" w:bidi="ar-SA"/>
      </w:rPr>
    </w:lvl>
  </w:abstractNum>
  <w:abstractNum w:abstractNumId="28" w15:restartNumberingAfterBreak="0">
    <w:nsid w:val="647C29A2"/>
    <w:multiLevelType w:val="hybridMultilevel"/>
    <w:tmpl w:val="ADE8373E"/>
    <w:lvl w:ilvl="0" w:tplc="9884AC40">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9D9AAA12">
      <w:numFmt w:val="bullet"/>
      <w:lvlText w:val="•"/>
      <w:lvlJc w:val="left"/>
      <w:pPr>
        <w:ind w:left="1077" w:hanging="360"/>
      </w:pPr>
      <w:rPr>
        <w:lang w:val="es-ES" w:eastAsia="en-US" w:bidi="ar-SA"/>
      </w:rPr>
    </w:lvl>
    <w:lvl w:ilvl="2" w:tplc="029C78D2">
      <w:numFmt w:val="bullet"/>
      <w:lvlText w:val="•"/>
      <w:lvlJc w:val="left"/>
      <w:pPr>
        <w:ind w:left="1334" w:hanging="360"/>
      </w:pPr>
      <w:rPr>
        <w:lang w:val="es-ES" w:eastAsia="en-US" w:bidi="ar-SA"/>
      </w:rPr>
    </w:lvl>
    <w:lvl w:ilvl="3" w:tplc="B03A395E">
      <w:numFmt w:val="bullet"/>
      <w:lvlText w:val="•"/>
      <w:lvlJc w:val="left"/>
      <w:pPr>
        <w:ind w:left="1591" w:hanging="360"/>
      </w:pPr>
      <w:rPr>
        <w:lang w:val="es-ES" w:eastAsia="en-US" w:bidi="ar-SA"/>
      </w:rPr>
    </w:lvl>
    <w:lvl w:ilvl="4" w:tplc="28C45BBC">
      <w:numFmt w:val="bullet"/>
      <w:lvlText w:val="•"/>
      <w:lvlJc w:val="left"/>
      <w:pPr>
        <w:ind w:left="1848" w:hanging="360"/>
      </w:pPr>
      <w:rPr>
        <w:lang w:val="es-ES" w:eastAsia="en-US" w:bidi="ar-SA"/>
      </w:rPr>
    </w:lvl>
    <w:lvl w:ilvl="5" w:tplc="8E18D144">
      <w:numFmt w:val="bullet"/>
      <w:lvlText w:val="•"/>
      <w:lvlJc w:val="left"/>
      <w:pPr>
        <w:ind w:left="2105" w:hanging="360"/>
      </w:pPr>
      <w:rPr>
        <w:lang w:val="es-ES" w:eastAsia="en-US" w:bidi="ar-SA"/>
      </w:rPr>
    </w:lvl>
    <w:lvl w:ilvl="6" w:tplc="CDF821FA">
      <w:numFmt w:val="bullet"/>
      <w:lvlText w:val="•"/>
      <w:lvlJc w:val="left"/>
      <w:pPr>
        <w:ind w:left="2362" w:hanging="360"/>
      </w:pPr>
      <w:rPr>
        <w:lang w:val="es-ES" w:eastAsia="en-US" w:bidi="ar-SA"/>
      </w:rPr>
    </w:lvl>
    <w:lvl w:ilvl="7" w:tplc="C3C26EEC">
      <w:numFmt w:val="bullet"/>
      <w:lvlText w:val="•"/>
      <w:lvlJc w:val="left"/>
      <w:pPr>
        <w:ind w:left="2619" w:hanging="360"/>
      </w:pPr>
      <w:rPr>
        <w:lang w:val="es-ES" w:eastAsia="en-US" w:bidi="ar-SA"/>
      </w:rPr>
    </w:lvl>
    <w:lvl w:ilvl="8" w:tplc="AD3C4522">
      <w:numFmt w:val="bullet"/>
      <w:lvlText w:val="•"/>
      <w:lvlJc w:val="left"/>
      <w:pPr>
        <w:ind w:left="2876" w:hanging="360"/>
      </w:pPr>
      <w:rPr>
        <w:lang w:val="es-ES" w:eastAsia="en-US" w:bidi="ar-SA"/>
      </w:rPr>
    </w:lvl>
  </w:abstractNum>
  <w:abstractNum w:abstractNumId="29" w15:restartNumberingAfterBreak="0">
    <w:nsid w:val="66CA18F7"/>
    <w:multiLevelType w:val="hybridMultilevel"/>
    <w:tmpl w:val="EEBEB5B2"/>
    <w:lvl w:ilvl="0" w:tplc="E766EA8A">
      <w:numFmt w:val="bullet"/>
      <w:lvlText w:val="-"/>
      <w:lvlJc w:val="left"/>
      <w:pPr>
        <w:ind w:left="320" w:hanging="224"/>
      </w:pPr>
      <w:rPr>
        <w:rFonts w:ascii="Calibri" w:eastAsia="Calibri" w:hAnsi="Calibri" w:cs="Calibri" w:hint="default"/>
        <w:w w:val="100"/>
        <w:sz w:val="24"/>
        <w:szCs w:val="24"/>
        <w:lang w:val="es-ES" w:eastAsia="en-US" w:bidi="ar-SA"/>
      </w:rPr>
    </w:lvl>
    <w:lvl w:ilvl="1" w:tplc="6F0A4C3C">
      <w:numFmt w:val="bullet"/>
      <w:lvlText w:val="•"/>
      <w:lvlJc w:val="left"/>
      <w:pPr>
        <w:ind w:left="684" w:hanging="224"/>
      </w:pPr>
      <w:rPr>
        <w:lang w:val="es-ES" w:eastAsia="en-US" w:bidi="ar-SA"/>
      </w:rPr>
    </w:lvl>
    <w:lvl w:ilvl="2" w:tplc="04E2C736">
      <w:numFmt w:val="bullet"/>
      <w:lvlText w:val="•"/>
      <w:lvlJc w:val="left"/>
      <w:pPr>
        <w:ind w:left="1048" w:hanging="224"/>
      </w:pPr>
      <w:rPr>
        <w:lang w:val="es-ES" w:eastAsia="en-US" w:bidi="ar-SA"/>
      </w:rPr>
    </w:lvl>
    <w:lvl w:ilvl="3" w:tplc="EEA6EE68">
      <w:numFmt w:val="bullet"/>
      <w:lvlText w:val="•"/>
      <w:lvlJc w:val="left"/>
      <w:pPr>
        <w:ind w:left="1412" w:hanging="224"/>
      </w:pPr>
      <w:rPr>
        <w:lang w:val="es-ES" w:eastAsia="en-US" w:bidi="ar-SA"/>
      </w:rPr>
    </w:lvl>
    <w:lvl w:ilvl="4" w:tplc="C082BE66">
      <w:numFmt w:val="bullet"/>
      <w:lvlText w:val="•"/>
      <w:lvlJc w:val="left"/>
      <w:pPr>
        <w:ind w:left="1776" w:hanging="224"/>
      </w:pPr>
      <w:rPr>
        <w:lang w:val="es-ES" w:eastAsia="en-US" w:bidi="ar-SA"/>
      </w:rPr>
    </w:lvl>
    <w:lvl w:ilvl="5" w:tplc="CDD29D18">
      <w:numFmt w:val="bullet"/>
      <w:lvlText w:val="•"/>
      <w:lvlJc w:val="left"/>
      <w:pPr>
        <w:ind w:left="2140" w:hanging="224"/>
      </w:pPr>
      <w:rPr>
        <w:lang w:val="es-ES" w:eastAsia="en-US" w:bidi="ar-SA"/>
      </w:rPr>
    </w:lvl>
    <w:lvl w:ilvl="6" w:tplc="5324218E">
      <w:numFmt w:val="bullet"/>
      <w:lvlText w:val="•"/>
      <w:lvlJc w:val="left"/>
      <w:pPr>
        <w:ind w:left="2504" w:hanging="224"/>
      </w:pPr>
      <w:rPr>
        <w:lang w:val="es-ES" w:eastAsia="en-US" w:bidi="ar-SA"/>
      </w:rPr>
    </w:lvl>
    <w:lvl w:ilvl="7" w:tplc="A1860442">
      <w:numFmt w:val="bullet"/>
      <w:lvlText w:val="•"/>
      <w:lvlJc w:val="left"/>
      <w:pPr>
        <w:ind w:left="2868" w:hanging="224"/>
      </w:pPr>
      <w:rPr>
        <w:lang w:val="es-ES" w:eastAsia="en-US" w:bidi="ar-SA"/>
      </w:rPr>
    </w:lvl>
    <w:lvl w:ilvl="8" w:tplc="D74E8A6E">
      <w:numFmt w:val="bullet"/>
      <w:lvlText w:val="•"/>
      <w:lvlJc w:val="left"/>
      <w:pPr>
        <w:ind w:left="3232" w:hanging="224"/>
      </w:pPr>
      <w:rPr>
        <w:lang w:val="es-ES" w:eastAsia="en-US" w:bidi="ar-SA"/>
      </w:rPr>
    </w:lvl>
  </w:abstractNum>
  <w:abstractNum w:abstractNumId="30" w15:restartNumberingAfterBreak="0">
    <w:nsid w:val="703F5F9C"/>
    <w:multiLevelType w:val="hybridMultilevel"/>
    <w:tmpl w:val="67B62ED2"/>
    <w:lvl w:ilvl="0" w:tplc="B22A6438">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2BD871EA">
      <w:numFmt w:val="bullet"/>
      <w:lvlText w:val="•"/>
      <w:lvlJc w:val="left"/>
      <w:pPr>
        <w:ind w:left="1077" w:hanging="360"/>
      </w:pPr>
      <w:rPr>
        <w:lang w:val="es-ES" w:eastAsia="en-US" w:bidi="ar-SA"/>
      </w:rPr>
    </w:lvl>
    <w:lvl w:ilvl="2" w:tplc="A9803308">
      <w:numFmt w:val="bullet"/>
      <w:lvlText w:val="•"/>
      <w:lvlJc w:val="left"/>
      <w:pPr>
        <w:ind w:left="1334" w:hanging="360"/>
      </w:pPr>
      <w:rPr>
        <w:lang w:val="es-ES" w:eastAsia="en-US" w:bidi="ar-SA"/>
      </w:rPr>
    </w:lvl>
    <w:lvl w:ilvl="3" w:tplc="0BCE3E92">
      <w:numFmt w:val="bullet"/>
      <w:lvlText w:val="•"/>
      <w:lvlJc w:val="left"/>
      <w:pPr>
        <w:ind w:left="1591" w:hanging="360"/>
      </w:pPr>
      <w:rPr>
        <w:lang w:val="es-ES" w:eastAsia="en-US" w:bidi="ar-SA"/>
      </w:rPr>
    </w:lvl>
    <w:lvl w:ilvl="4" w:tplc="C8481C2A">
      <w:numFmt w:val="bullet"/>
      <w:lvlText w:val="•"/>
      <w:lvlJc w:val="left"/>
      <w:pPr>
        <w:ind w:left="1848" w:hanging="360"/>
      </w:pPr>
      <w:rPr>
        <w:lang w:val="es-ES" w:eastAsia="en-US" w:bidi="ar-SA"/>
      </w:rPr>
    </w:lvl>
    <w:lvl w:ilvl="5" w:tplc="EB70E21A">
      <w:numFmt w:val="bullet"/>
      <w:lvlText w:val="•"/>
      <w:lvlJc w:val="left"/>
      <w:pPr>
        <w:ind w:left="2105" w:hanging="360"/>
      </w:pPr>
      <w:rPr>
        <w:lang w:val="es-ES" w:eastAsia="en-US" w:bidi="ar-SA"/>
      </w:rPr>
    </w:lvl>
    <w:lvl w:ilvl="6" w:tplc="9F3AEF8C">
      <w:numFmt w:val="bullet"/>
      <w:lvlText w:val="•"/>
      <w:lvlJc w:val="left"/>
      <w:pPr>
        <w:ind w:left="2362" w:hanging="360"/>
      </w:pPr>
      <w:rPr>
        <w:lang w:val="es-ES" w:eastAsia="en-US" w:bidi="ar-SA"/>
      </w:rPr>
    </w:lvl>
    <w:lvl w:ilvl="7" w:tplc="7818999A">
      <w:numFmt w:val="bullet"/>
      <w:lvlText w:val="•"/>
      <w:lvlJc w:val="left"/>
      <w:pPr>
        <w:ind w:left="2619" w:hanging="360"/>
      </w:pPr>
      <w:rPr>
        <w:lang w:val="es-ES" w:eastAsia="en-US" w:bidi="ar-SA"/>
      </w:rPr>
    </w:lvl>
    <w:lvl w:ilvl="8" w:tplc="12E2C2CE">
      <w:numFmt w:val="bullet"/>
      <w:lvlText w:val="•"/>
      <w:lvlJc w:val="left"/>
      <w:pPr>
        <w:ind w:left="2876" w:hanging="360"/>
      </w:pPr>
      <w:rPr>
        <w:lang w:val="es-ES" w:eastAsia="en-US" w:bidi="ar-SA"/>
      </w:rPr>
    </w:lvl>
  </w:abstractNum>
  <w:abstractNum w:abstractNumId="31" w15:restartNumberingAfterBreak="0">
    <w:nsid w:val="70F10E6A"/>
    <w:multiLevelType w:val="hybridMultilevel"/>
    <w:tmpl w:val="75628A96"/>
    <w:lvl w:ilvl="0" w:tplc="240A000F">
      <w:start w:val="1"/>
      <w:numFmt w:val="decimal"/>
      <w:lvlText w:val="%1."/>
      <w:lvlJc w:val="left"/>
      <w:pPr>
        <w:ind w:left="720" w:hanging="360"/>
      </w:p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2" w15:restartNumberingAfterBreak="0">
    <w:nsid w:val="7CAD4E5C"/>
    <w:multiLevelType w:val="hybridMultilevel"/>
    <w:tmpl w:val="E5F0B0C8"/>
    <w:lvl w:ilvl="0" w:tplc="8CFC0D2A">
      <w:numFmt w:val="bullet"/>
      <w:lvlText w:val="-"/>
      <w:lvlJc w:val="left"/>
      <w:pPr>
        <w:ind w:left="828" w:hanging="360"/>
      </w:pPr>
      <w:rPr>
        <w:rFonts w:ascii="Times New Roman" w:eastAsia="Times New Roman" w:hAnsi="Times New Roman" w:cs="Times New Roman" w:hint="default"/>
        <w:w w:val="99"/>
        <w:sz w:val="24"/>
        <w:szCs w:val="24"/>
        <w:lang w:val="es-ES" w:eastAsia="en-US" w:bidi="ar-SA"/>
      </w:rPr>
    </w:lvl>
    <w:lvl w:ilvl="1" w:tplc="776C0EEA">
      <w:numFmt w:val="bullet"/>
      <w:lvlText w:val="•"/>
      <w:lvlJc w:val="left"/>
      <w:pPr>
        <w:ind w:left="1077" w:hanging="360"/>
      </w:pPr>
      <w:rPr>
        <w:lang w:val="es-ES" w:eastAsia="en-US" w:bidi="ar-SA"/>
      </w:rPr>
    </w:lvl>
    <w:lvl w:ilvl="2" w:tplc="A9826574">
      <w:numFmt w:val="bullet"/>
      <w:lvlText w:val="•"/>
      <w:lvlJc w:val="left"/>
      <w:pPr>
        <w:ind w:left="1334" w:hanging="360"/>
      </w:pPr>
      <w:rPr>
        <w:lang w:val="es-ES" w:eastAsia="en-US" w:bidi="ar-SA"/>
      </w:rPr>
    </w:lvl>
    <w:lvl w:ilvl="3" w:tplc="AEDCB634">
      <w:numFmt w:val="bullet"/>
      <w:lvlText w:val="•"/>
      <w:lvlJc w:val="left"/>
      <w:pPr>
        <w:ind w:left="1591" w:hanging="360"/>
      </w:pPr>
      <w:rPr>
        <w:lang w:val="es-ES" w:eastAsia="en-US" w:bidi="ar-SA"/>
      </w:rPr>
    </w:lvl>
    <w:lvl w:ilvl="4" w:tplc="918877A2">
      <w:numFmt w:val="bullet"/>
      <w:lvlText w:val="•"/>
      <w:lvlJc w:val="left"/>
      <w:pPr>
        <w:ind w:left="1848" w:hanging="360"/>
      </w:pPr>
      <w:rPr>
        <w:lang w:val="es-ES" w:eastAsia="en-US" w:bidi="ar-SA"/>
      </w:rPr>
    </w:lvl>
    <w:lvl w:ilvl="5" w:tplc="0FD2626E">
      <w:numFmt w:val="bullet"/>
      <w:lvlText w:val="•"/>
      <w:lvlJc w:val="left"/>
      <w:pPr>
        <w:ind w:left="2105" w:hanging="360"/>
      </w:pPr>
      <w:rPr>
        <w:lang w:val="es-ES" w:eastAsia="en-US" w:bidi="ar-SA"/>
      </w:rPr>
    </w:lvl>
    <w:lvl w:ilvl="6" w:tplc="A2C638C8">
      <w:numFmt w:val="bullet"/>
      <w:lvlText w:val="•"/>
      <w:lvlJc w:val="left"/>
      <w:pPr>
        <w:ind w:left="2362" w:hanging="360"/>
      </w:pPr>
      <w:rPr>
        <w:lang w:val="es-ES" w:eastAsia="en-US" w:bidi="ar-SA"/>
      </w:rPr>
    </w:lvl>
    <w:lvl w:ilvl="7" w:tplc="D2488B22">
      <w:numFmt w:val="bullet"/>
      <w:lvlText w:val="•"/>
      <w:lvlJc w:val="left"/>
      <w:pPr>
        <w:ind w:left="2619" w:hanging="360"/>
      </w:pPr>
      <w:rPr>
        <w:lang w:val="es-ES" w:eastAsia="en-US" w:bidi="ar-SA"/>
      </w:rPr>
    </w:lvl>
    <w:lvl w:ilvl="8" w:tplc="03AC1B7E">
      <w:numFmt w:val="bullet"/>
      <w:lvlText w:val="•"/>
      <w:lvlJc w:val="left"/>
      <w:pPr>
        <w:ind w:left="2876" w:hanging="360"/>
      </w:pPr>
      <w:rPr>
        <w:lang w:val="es-ES" w:eastAsia="en-US" w:bidi="ar-SA"/>
      </w:rPr>
    </w:lvl>
  </w:abstractNum>
  <w:abstractNum w:abstractNumId="33" w15:restartNumberingAfterBreak="0">
    <w:nsid w:val="7E9612CB"/>
    <w:multiLevelType w:val="hybridMultilevel"/>
    <w:tmpl w:val="44560ED8"/>
    <w:lvl w:ilvl="0" w:tplc="DB86448E">
      <w:numFmt w:val="bullet"/>
      <w:lvlText w:val="-"/>
      <w:lvlJc w:val="left"/>
      <w:pPr>
        <w:ind w:left="320" w:hanging="224"/>
      </w:pPr>
      <w:rPr>
        <w:rFonts w:ascii="Calibri" w:eastAsia="Calibri" w:hAnsi="Calibri" w:cs="Calibri" w:hint="default"/>
        <w:w w:val="100"/>
        <w:sz w:val="24"/>
        <w:szCs w:val="24"/>
        <w:lang w:val="es-ES" w:eastAsia="en-US" w:bidi="ar-SA"/>
      </w:rPr>
    </w:lvl>
    <w:lvl w:ilvl="1" w:tplc="74C083AC">
      <w:numFmt w:val="bullet"/>
      <w:lvlText w:val="•"/>
      <w:lvlJc w:val="left"/>
      <w:pPr>
        <w:ind w:left="684" w:hanging="224"/>
      </w:pPr>
      <w:rPr>
        <w:lang w:val="es-ES" w:eastAsia="en-US" w:bidi="ar-SA"/>
      </w:rPr>
    </w:lvl>
    <w:lvl w:ilvl="2" w:tplc="DA6E389A">
      <w:numFmt w:val="bullet"/>
      <w:lvlText w:val="•"/>
      <w:lvlJc w:val="left"/>
      <w:pPr>
        <w:ind w:left="1048" w:hanging="224"/>
      </w:pPr>
      <w:rPr>
        <w:lang w:val="es-ES" w:eastAsia="en-US" w:bidi="ar-SA"/>
      </w:rPr>
    </w:lvl>
    <w:lvl w:ilvl="3" w:tplc="D2CC7D4A">
      <w:numFmt w:val="bullet"/>
      <w:lvlText w:val="•"/>
      <w:lvlJc w:val="left"/>
      <w:pPr>
        <w:ind w:left="1412" w:hanging="224"/>
      </w:pPr>
      <w:rPr>
        <w:lang w:val="es-ES" w:eastAsia="en-US" w:bidi="ar-SA"/>
      </w:rPr>
    </w:lvl>
    <w:lvl w:ilvl="4" w:tplc="023023FA">
      <w:numFmt w:val="bullet"/>
      <w:lvlText w:val="•"/>
      <w:lvlJc w:val="left"/>
      <w:pPr>
        <w:ind w:left="1776" w:hanging="224"/>
      </w:pPr>
      <w:rPr>
        <w:lang w:val="es-ES" w:eastAsia="en-US" w:bidi="ar-SA"/>
      </w:rPr>
    </w:lvl>
    <w:lvl w:ilvl="5" w:tplc="ACC69E5A">
      <w:numFmt w:val="bullet"/>
      <w:lvlText w:val="•"/>
      <w:lvlJc w:val="left"/>
      <w:pPr>
        <w:ind w:left="2140" w:hanging="224"/>
      </w:pPr>
      <w:rPr>
        <w:lang w:val="es-ES" w:eastAsia="en-US" w:bidi="ar-SA"/>
      </w:rPr>
    </w:lvl>
    <w:lvl w:ilvl="6" w:tplc="568465A8">
      <w:numFmt w:val="bullet"/>
      <w:lvlText w:val="•"/>
      <w:lvlJc w:val="left"/>
      <w:pPr>
        <w:ind w:left="2504" w:hanging="224"/>
      </w:pPr>
      <w:rPr>
        <w:lang w:val="es-ES" w:eastAsia="en-US" w:bidi="ar-SA"/>
      </w:rPr>
    </w:lvl>
    <w:lvl w:ilvl="7" w:tplc="6F58E9DA">
      <w:numFmt w:val="bullet"/>
      <w:lvlText w:val="•"/>
      <w:lvlJc w:val="left"/>
      <w:pPr>
        <w:ind w:left="2868" w:hanging="224"/>
      </w:pPr>
      <w:rPr>
        <w:lang w:val="es-ES" w:eastAsia="en-US" w:bidi="ar-SA"/>
      </w:rPr>
    </w:lvl>
    <w:lvl w:ilvl="8" w:tplc="DE24A2C2">
      <w:numFmt w:val="bullet"/>
      <w:lvlText w:val="•"/>
      <w:lvlJc w:val="left"/>
      <w:pPr>
        <w:ind w:left="3232" w:hanging="224"/>
      </w:pPr>
      <w:rPr>
        <w:lang w:val="es-ES" w:eastAsia="en-US" w:bidi="ar-SA"/>
      </w:rPr>
    </w:lvl>
  </w:abstractNum>
  <w:num w:numId="1">
    <w:abstractNumId w:val="22"/>
  </w:num>
  <w:num w:numId="2">
    <w:abstractNumId w:val="31"/>
    <w:lvlOverride w:ilvl="0">
      <w:startOverride w:val="1"/>
    </w:lvlOverride>
    <w:lvlOverride w:ilvl="1"/>
    <w:lvlOverride w:ilvl="2"/>
    <w:lvlOverride w:ilvl="3"/>
    <w:lvlOverride w:ilvl="4"/>
    <w:lvlOverride w:ilvl="5"/>
    <w:lvlOverride w:ilvl="6"/>
    <w:lvlOverride w:ilvl="7"/>
    <w:lvlOverride w:ilvl="8"/>
  </w:num>
  <w:num w:numId="3">
    <w:abstractNumId w:val="24"/>
  </w:num>
  <w:num w:numId="4">
    <w:abstractNumId w:val="32"/>
  </w:num>
  <w:num w:numId="5">
    <w:abstractNumId w:val="23"/>
  </w:num>
  <w:num w:numId="6">
    <w:abstractNumId w:val="18"/>
  </w:num>
  <w:num w:numId="7">
    <w:abstractNumId w:val="26"/>
  </w:num>
  <w:num w:numId="8">
    <w:abstractNumId w:val="28"/>
  </w:num>
  <w:num w:numId="9">
    <w:abstractNumId w:val="25"/>
  </w:num>
  <w:num w:numId="10">
    <w:abstractNumId w:val="27"/>
  </w:num>
  <w:num w:numId="11">
    <w:abstractNumId w:val="30"/>
  </w:num>
  <w:num w:numId="12">
    <w:abstractNumId w:val="0"/>
  </w:num>
  <w:num w:numId="13">
    <w:abstractNumId w:val="14"/>
  </w:num>
  <w:num w:numId="14">
    <w:abstractNumId w:val="6"/>
  </w:num>
  <w:num w:numId="15">
    <w:abstractNumId w:val="20"/>
  </w:num>
  <w:num w:numId="16">
    <w:abstractNumId w:val="9"/>
  </w:num>
  <w:num w:numId="17">
    <w:abstractNumId w:val="7"/>
  </w:num>
  <w:num w:numId="18">
    <w:abstractNumId w:val="15"/>
  </w:num>
  <w:num w:numId="19">
    <w:abstractNumId w:val="5"/>
  </w:num>
  <w:num w:numId="20">
    <w:abstractNumId w:val="11"/>
    <w:lvlOverride w:ilvl="0"/>
    <w:lvlOverride w:ilvl="1">
      <w:startOverride w:val="1"/>
    </w:lvlOverride>
    <w:lvlOverride w:ilvl="2"/>
    <w:lvlOverride w:ilvl="3"/>
    <w:lvlOverride w:ilvl="4"/>
    <w:lvlOverride w:ilvl="5"/>
    <w:lvlOverride w:ilvl="6"/>
    <w:lvlOverride w:ilvl="7"/>
    <w:lvlOverride w:ilvl="8"/>
  </w:num>
  <w:num w:numId="21">
    <w:abstractNumId w:val="3"/>
  </w:num>
  <w:num w:numId="22">
    <w:abstractNumId w:val="1"/>
  </w:num>
  <w:num w:numId="23">
    <w:abstractNumId w:val="17"/>
  </w:num>
  <w:num w:numId="24">
    <w:abstractNumId w:val="12"/>
  </w:num>
  <w:num w:numId="25">
    <w:abstractNumId w:val="2"/>
  </w:num>
  <w:num w:numId="26">
    <w:abstractNumId w:val="8"/>
  </w:num>
  <w:num w:numId="27">
    <w:abstractNumId w:val="13"/>
  </w:num>
  <w:num w:numId="28">
    <w:abstractNumId w:val="29"/>
  </w:num>
  <w:num w:numId="29">
    <w:abstractNumId w:val="33"/>
  </w:num>
  <w:num w:numId="30">
    <w:abstractNumId w:val="4"/>
  </w:num>
  <w:num w:numId="31">
    <w:abstractNumId w:val="16"/>
  </w:num>
  <w:num w:numId="32">
    <w:abstractNumId w:val="10"/>
  </w:num>
  <w:num w:numId="33">
    <w:abstractNumId w:val="21"/>
  </w:num>
  <w:num w:numId="34">
    <w:abstractNumId w:val="31"/>
  </w:num>
  <w:num w:numId="35">
    <w:abstractNumId w:val="22"/>
  </w:num>
  <w:num w:numId="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ECA"/>
    <w:rsid w:val="00001A05"/>
    <w:rsid w:val="00014672"/>
    <w:rsid w:val="00023767"/>
    <w:rsid w:val="00037F7A"/>
    <w:rsid w:val="000642FD"/>
    <w:rsid w:val="000A0177"/>
    <w:rsid w:val="000B30FC"/>
    <w:rsid w:val="00110D9B"/>
    <w:rsid w:val="00121D48"/>
    <w:rsid w:val="00137C51"/>
    <w:rsid w:val="001430A1"/>
    <w:rsid w:val="00144797"/>
    <w:rsid w:val="0014544E"/>
    <w:rsid w:val="00150700"/>
    <w:rsid w:val="00156FBD"/>
    <w:rsid w:val="001606C5"/>
    <w:rsid w:val="001729E2"/>
    <w:rsid w:val="00174B52"/>
    <w:rsid w:val="0019404F"/>
    <w:rsid w:val="001A3772"/>
    <w:rsid w:val="002142C5"/>
    <w:rsid w:val="002244AB"/>
    <w:rsid w:val="00231B0F"/>
    <w:rsid w:val="00240ECA"/>
    <w:rsid w:val="0024436F"/>
    <w:rsid w:val="00245500"/>
    <w:rsid w:val="00266508"/>
    <w:rsid w:val="00280746"/>
    <w:rsid w:val="002A1D06"/>
    <w:rsid w:val="002F3C02"/>
    <w:rsid w:val="002F583B"/>
    <w:rsid w:val="00306F5F"/>
    <w:rsid w:val="00335BD0"/>
    <w:rsid w:val="003509E9"/>
    <w:rsid w:val="0036085D"/>
    <w:rsid w:val="00382F20"/>
    <w:rsid w:val="003A095E"/>
    <w:rsid w:val="003B62AF"/>
    <w:rsid w:val="003D5E8E"/>
    <w:rsid w:val="003E24EC"/>
    <w:rsid w:val="004147D7"/>
    <w:rsid w:val="00430761"/>
    <w:rsid w:val="00444E75"/>
    <w:rsid w:val="00483533"/>
    <w:rsid w:val="00484CF8"/>
    <w:rsid w:val="005127FA"/>
    <w:rsid w:val="00514A46"/>
    <w:rsid w:val="0051605F"/>
    <w:rsid w:val="005179EA"/>
    <w:rsid w:val="005417AF"/>
    <w:rsid w:val="00561EE5"/>
    <w:rsid w:val="00572DBF"/>
    <w:rsid w:val="0057766D"/>
    <w:rsid w:val="005836A9"/>
    <w:rsid w:val="00591C66"/>
    <w:rsid w:val="005A7CF8"/>
    <w:rsid w:val="005C0B75"/>
    <w:rsid w:val="005C2A68"/>
    <w:rsid w:val="005E0397"/>
    <w:rsid w:val="00611B8C"/>
    <w:rsid w:val="00614696"/>
    <w:rsid w:val="0062515C"/>
    <w:rsid w:val="00653CDE"/>
    <w:rsid w:val="006813CB"/>
    <w:rsid w:val="00693D31"/>
    <w:rsid w:val="006B646D"/>
    <w:rsid w:val="006C22FF"/>
    <w:rsid w:val="006C2C3F"/>
    <w:rsid w:val="006F063A"/>
    <w:rsid w:val="00775F51"/>
    <w:rsid w:val="00781C41"/>
    <w:rsid w:val="0079045E"/>
    <w:rsid w:val="007B59FE"/>
    <w:rsid w:val="007C2C22"/>
    <w:rsid w:val="007C518B"/>
    <w:rsid w:val="007F2E5F"/>
    <w:rsid w:val="00807513"/>
    <w:rsid w:val="00811B3D"/>
    <w:rsid w:val="00813B9F"/>
    <w:rsid w:val="008145F5"/>
    <w:rsid w:val="00823555"/>
    <w:rsid w:val="008441C8"/>
    <w:rsid w:val="0084578C"/>
    <w:rsid w:val="00861917"/>
    <w:rsid w:val="0089497B"/>
    <w:rsid w:val="00897894"/>
    <w:rsid w:val="008F56C1"/>
    <w:rsid w:val="008F67F7"/>
    <w:rsid w:val="00906631"/>
    <w:rsid w:val="00910553"/>
    <w:rsid w:val="009172BE"/>
    <w:rsid w:val="00943CD5"/>
    <w:rsid w:val="009674EE"/>
    <w:rsid w:val="00976C23"/>
    <w:rsid w:val="00982552"/>
    <w:rsid w:val="00985774"/>
    <w:rsid w:val="009B6468"/>
    <w:rsid w:val="009E2DE5"/>
    <w:rsid w:val="009E68F3"/>
    <w:rsid w:val="00A155AF"/>
    <w:rsid w:val="00A1705B"/>
    <w:rsid w:val="00A303A8"/>
    <w:rsid w:val="00A65D8D"/>
    <w:rsid w:val="00A661A8"/>
    <w:rsid w:val="00A8733F"/>
    <w:rsid w:val="00A9703C"/>
    <w:rsid w:val="00A97297"/>
    <w:rsid w:val="00AA530B"/>
    <w:rsid w:val="00AD2E2A"/>
    <w:rsid w:val="00AD3D2E"/>
    <w:rsid w:val="00AE5ED8"/>
    <w:rsid w:val="00AF0895"/>
    <w:rsid w:val="00AF5115"/>
    <w:rsid w:val="00B15214"/>
    <w:rsid w:val="00B53253"/>
    <w:rsid w:val="00B86B60"/>
    <w:rsid w:val="00BB6D38"/>
    <w:rsid w:val="00BD44BA"/>
    <w:rsid w:val="00BD6499"/>
    <w:rsid w:val="00BF1176"/>
    <w:rsid w:val="00C34344"/>
    <w:rsid w:val="00C410E4"/>
    <w:rsid w:val="00C42D2E"/>
    <w:rsid w:val="00C55EAB"/>
    <w:rsid w:val="00C57CA8"/>
    <w:rsid w:val="00C62F14"/>
    <w:rsid w:val="00C71DCD"/>
    <w:rsid w:val="00C82084"/>
    <w:rsid w:val="00C96469"/>
    <w:rsid w:val="00CB3F37"/>
    <w:rsid w:val="00CD4EC6"/>
    <w:rsid w:val="00CD7E75"/>
    <w:rsid w:val="00D01BEA"/>
    <w:rsid w:val="00D43D3B"/>
    <w:rsid w:val="00D50656"/>
    <w:rsid w:val="00D71B7F"/>
    <w:rsid w:val="00D85075"/>
    <w:rsid w:val="00DA55A4"/>
    <w:rsid w:val="00DC02C7"/>
    <w:rsid w:val="00DC3175"/>
    <w:rsid w:val="00E71060"/>
    <w:rsid w:val="00E82940"/>
    <w:rsid w:val="00E90BAD"/>
    <w:rsid w:val="00EC00A9"/>
    <w:rsid w:val="00EE1486"/>
    <w:rsid w:val="00EF1D7F"/>
    <w:rsid w:val="00F00BE2"/>
    <w:rsid w:val="00F0127C"/>
    <w:rsid w:val="00F14506"/>
    <w:rsid w:val="00F23482"/>
    <w:rsid w:val="00F30792"/>
    <w:rsid w:val="00F85433"/>
    <w:rsid w:val="00FC18B1"/>
    <w:rsid w:val="00FD01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23C0E"/>
  <w15:chartTrackingRefBased/>
  <w15:docId w15:val="{D60A2510-AFAB-4BF9-9A68-7967662A5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0ECA"/>
    <w:pPr>
      <w:spacing w:after="200" w:line="360" w:lineRule="auto"/>
      <w:ind w:firstLine="709"/>
      <w:jc w:val="both"/>
    </w:pPr>
    <w:rPr>
      <w:rFonts w:ascii="Times New Roman" w:hAnsi="Times New Roman"/>
      <w:sz w:val="24"/>
    </w:rPr>
  </w:style>
  <w:style w:type="paragraph" w:styleId="Ttulo1">
    <w:name w:val="heading 1"/>
    <w:basedOn w:val="Normal"/>
    <w:next w:val="Normal"/>
    <w:link w:val="Ttulo1Car"/>
    <w:uiPriority w:val="9"/>
    <w:qFormat/>
    <w:rsid w:val="00807513"/>
    <w:pPr>
      <w:keepNext/>
      <w:keepLines/>
      <w:spacing w:before="240" w:after="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807513"/>
    <w:pPr>
      <w:keepNext/>
      <w:keepLines/>
      <w:spacing w:before="40" w:after="0"/>
      <w:outlineLvl w:val="1"/>
    </w:pPr>
    <w:rPr>
      <w:rFonts w:eastAsiaTheme="majorEastAsia" w:cstheme="majorBidi"/>
      <w:b/>
      <w:szCs w:val="26"/>
    </w:rPr>
  </w:style>
  <w:style w:type="paragraph" w:styleId="Ttulo3">
    <w:name w:val="heading 3"/>
    <w:basedOn w:val="Normal"/>
    <w:link w:val="Ttulo3Car"/>
    <w:uiPriority w:val="9"/>
    <w:qFormat/>
    <w:rsid w:val="00150700"/>
    <w:pPr>
      <w:spacing w:before="100" w:beforeAutospacing="1" w:after="100" w:afterAutospacing="1" w:line="240" w:lineRule="auto"/>
      <w:ind w:firstLine="0"/>
      <w:jc w:val="left"/>
      <w:outlineLvl w:val="2"/>
    </w:pPr>
    <w:rPr>
      <w:rFonts w:eastAsia="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40ECA"/>
    <w:pPr>
      <w:ind w:left="720"/>
      <w:contextualSpacing/>
    </w:pPr>
  </w:style>
  <w:style w:type="character" w:styleId="Textoennegrita">
    <w:name w:val="Strong"/>
    <w:basedOn w:val="Fuentedeprrafopredeter"/>
    <w:uiPriority w:val="22"/>
    <w:qFormat/>
    <w:rsid w:val="00240ECA"/>
    <w:rPr>
      <w:b/>
      <w:bCs/>
    </w:rPr>
  </w:style>
  <w:style w:type="paragraph" w:styleId="Textonotapie">
    <w:name w:val="footnote text"/>
    <w:basedOn w:val="Normal"/>
    <w:link w:val="TextonotapieCar"/>
    <w:uiPriority w:val="99"/>
    <w:semiHidden/>
    <w:unhideWhenUsed/>
    <w:rsid w:val="0014544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4544E"/>
    <w:rPr>
      <w:rFonts w:ascii="Times New Roman" w:hAnsi="Times New Roman"/>
      <w:sz w:val="20"/>
      <w:szCs w:val="20"/>
    </w:rPr>
  </w:style>
  <w:style w:type="character" w:styleId="Refdenotaalpie">
    <w:name w:val="footnote reference"/>
    <w:basedOn w:val="Fuentedeprrafopredeter"/>
    <w:uiPriority w:val="99"/>
    <w:semiHidden/>
    <w:unhideWhenUsed/>
    <w:rsid w:val="0014544E"/>
    <w:rPr>
      <w:vertAlign w:val="superscript"/>
    </w:rPr>
  </w:style>
  <w:style w:type="character" w:styleId="Refdecomentario">
    <w:name w:val="annotation reference"/>
    <w:basedOn w:val="Fuentedeprrafopredeter"/>
    <w:uiPriority w:val="99"/>
    <w:semiHidden/>
    <w:unhideWhenUsed/>
    <w:rsid w:val="001A3772"/>
    <w:rPr>
      <w:sz w:val="16"/>
      <w:szCs w:val="16"/>
    </w:rPr>
  </w:style>
  <w:style w:type="paragraph" w:styleId="Textocomentario">
    <w:name w:val="annotation text"/>
    <w:basedOn w:val="Normal"/>
    <w:link w:val="TextocomentarioCar"/>
    <w:uiPriority w:val="99"/>
    <w:semiHidden/>
    <w:unhideWhenUsed/>
    <w:rsid w:val="001A377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A3772"/>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1A3772"/>
    <w:rPr>
      <w:b/>
      <w:bCs/>
    </w:rPr>
  </w:style>
  <w:style w:type="character" w:customStyle="1" w:styleId="AsuntodelcomentarioCar">
    <w:name w:val="Asunto del comentario Car"/>
    <w:basedOn w:val="TextocomentarioCar"/>
    <w:link w:val="Asuntodelcomentario"/>
    <w:uiPriority w:val="99"/>
    <w:semiHidden/>
    <w:rsid w:val="001A3772"/>
    <w:rPr>
      <w:rFonts w:ascii="Times New Roman" w:hAnsi="Times New Roman"/>
      <w:b/>
      <w:bCs/>
      <w:sz w:val="20"/>
      <w:szCs w:val="20"/>
    </w:rPr>
  </w:style>
  <w:style w:type="paragraph" w:styleId="HTMLconformatoprevio">
    <w:name w:val="HTML Preformatted"/>
    <w:basedOn w:val="Normal"/>
    <w:link w:val="HTMLconformatoprevioCar"/>
    <w:uiPriority w:val="99"/>
    <w:semiHidden/>
    <w:unhideWhenUsed/>
    <w:rsid w:val="00E90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E90BAD"/>
    <w:rPr>
      <w:rFonts w:ascii="Courier New" w:eastAsia="Times New Roman" w:hAnsi="Courier New" w:cs="Courier New"/>
      <w:sz w:val="20"/>
      <w:szCs w:val="20"/>
      <w:lang w:eastAsia="es-CO"/>
    </w:rPr>
  </w:style>
  <w:style w:type="character" w:customStyle="1" w:styleId="y2iqfc">
    <w:name w:val="y2iqfc"/>
    <w:basedOn w:val="Fuentedeprrafopredeter"/>
    <w:rsid w:val="00E90BAD"/>
  </w:style>
  <w:style w:type="paragraph" w:styleId="Revisin">
    <w:name w:val="Revision"/>
    <w:hidden/>
    <w:uiPriority w:val="99"/>
    <w:semiHidden/>
    <w:rsid w:val="0089497B"/>
    <w:pPr>
      <w:spacing w:after="0" w:line="240" w:lineRule="auto"/>
    </w:pPr>
    <w:rPr>
      <w:rFonts w:ascii="Times New Roman" w:hAnsi="Times New Roman"/>
      <w:sz w:val="24"/>
    </w:rPr>
  </w:style>
  <w:style w:type="paragraph" w:styleId="NormalWeb">
    <w:name w:val="Normal (Web)"/>
    <w:basedOn w:val="Normal"/>
    <w:uiPriority w:val="99"/>
    <w:unhideWhenUsed/>
    <w:rsid w:val="003A095E"/>
    <w:pPr>
      <w:spacing w:before="480" w:beforeAutospacing="1" w:after="480" w:afterAutospacing="1" w:line="480" w:lineRule="auto"/>
      <w:ind w:firstLine="0"/>
      <w:jc w:val="right"/>
    </w:pPr>
    <w:rPr>
      <w:rFonts w:eastAsia="Times New Roman" w:cs="Times New Roman"/>
      <w:szCs w:val="24"/>
      <w:lang w:eastAsia="es-CO"/>
    </w:rPr>
  </w:style>
  <w:style w:type="paragraph" w:styleId="Textoindependiente">
    <w:name w:val="Body Text"/>
    <w:basedOn w:val="Normal"/>
    <w:link w:val="TextoindependienteCar"/>
    <w:uiPriority w:val="1"/>
    <w:semiHidden/>
    <w:unhideWhenUsed/>
    <w:qFormat/>
    <w:rsid w:val="008441C8"/>
    <w:pPr>
      <w:widowControl w:val="0"/>
      <w:autoSpaceDE w:val="0"/>
      <w:autoSpaceDN w:val="0"/>
      <w:spacing w:after="0" w:line="240" w:lineRule="auto"/>
      <w:ind w:left="222" w:firstLine="0"/>
    </w:pPr>
    <w:rPr>
      <w:rFonts w:eastAsia="Times New Roman" w:cs="Times New Roman"/>
      <w:szCs w:val="24"/>
      <w:lang w:val="es-ES"/>
    </w:rPr>
  </w:style>
  <w:style w:type="character" w:customStyle="1" w:styleId="TextoindependienteCar">
    <w:name w:val="Texto independiente Car"/>
    <w:basedOn w:val="Fuentedeprrafopredeter"/>
    <w:link w:val="Textoindependiente"/>
    <w:uiPriority w:val="1"/>
    <w:semiHidden/>
    <w:rsid w:val="008441C8"/>
    <w:rPr>
      <w:rFonts w:ascii="Times New Roman" w:eastAsia="Times New Roman" w:hAnsi="Times New Roman" w:cs="Times New Roman"/>
      <w:sz w:val="24"/>
      <w:szCs w:val="24"/>
      <w:lang w:val="es-ES"/>
    </w:rPr>
  </w:style>
  <w:style w:type="paragraph" w:customStyle="1" w:styleId="TableParagraph">
    <w:name w:val="Table Paragraph"/>
    <w:basedOn w:val="Normal"/>
    <w:uiPriority w:val="1"/>
    <w:qFormat/>
    <w:rsid w:val="008441C8"/>
    <w:pPr>
      <w:widowControl w:val="0"/>
      <w:autoSpaceDE w:val="0"/>
      <w:autoSpaceDN w:val="0"/>
      <w:spacing w:after="0" w:line="240" w:lineRule="auto"/>
      <w:ind w:firstLine="0"/>
      <w:jc w:val="left"/>
    </w:pPr>
    <w:rPr>
      <w:rFonts w:eastAsia="Times New Roman" w:cs="Times New Roman"/>
      <w:sz w:val="22"/>
      <w:lang w:val="es-ES"/>
    </w:rPr>
  </w:style>
  <w:style w:type="table" w:customStyle="1" w:styleId="TableNormal">
    <w:name w:val="Table Normal"/>
    <w:uiPriority w:val="2"/>
    <w:semiHidden/>
    <w:qFormat/>
    <w:rsid w:val="008441C8"/>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vnculo">
    <w:name w:val="Hyperlink"/>
    <w:basedOn w:val="Fuentedeprrafopredeter"/>
    <w:uiPriority w:val="99"/>
    <w:unhideWhenUsed/>
    <w:rsid w:val="00693D31"/>
    <w:rPr>
      <w:color w:val="0563C1" w:themeColor="hyperlink"/>
      <w:u w:val="single"/>
    </w:rPr>
  </w:style>
  <w:style w:type="character" w:styleId="Mencinsinresolver">
    <w:name w:val="Unresolved Mention"/>
    <w:basedOn w:val="Fuentedeprrafopredeter"/>
    <w:uiPriority w:val="99"/>
    <w:semiHidden/>
    <w:unhideWhenUsed/>
    <w:rsid w:val="00693D31"/>
    <w:rPr>
      <w:color w:val="605E5C"/>
      <w:shd w:val="clear" w:color="auto" w:fill="E1DFDD"/>
    </w:rPr>
  </w:style>
  <w:style w:type="character" w:styleId="nfasis">
    <w:name w:val="Emphasis"/>
    <w:basedOn w:val="Fuentedeprrafopredeter"/>
    <w:uiPriority w:val="20"/>
    <w:qFormat/>
    <w:rsid w:val="00B86B60"/>
    <w:rPr>
      <w:i/>
      <w:iCs/>
    </w:rPr>
  </w:style>
  <w:style w:type="character" w:customStyle="1" w:styleId="Ttulo3Car">
    <w:name w:val="Título 3 Car"/>
    <w:basedOn w:val="Fuentedeprrafopredeter"/>
    <w:link w:val="Ttulo3"/>
    <w:uiPriority w:val="9"/>
    <w:rsid w:val="00150700"/>
    <w:rPr>
      <w:rFonts w:ascii="Times New Roman" w:eastAsia="Times New Roman" w:hAnsi="Times New Roman" w:cs="Times New Roman"/>
      <w:b/>
      <w:bCs/>
      <w:sz w:val="27"/>
      <w:szCs w:val="27"/>
      <w:lang w:eastAsia="es-CO"/>
    </w:rPr>
  </w:style>
  <w:style w:type="character" w:customStyle="1" w:styleId="Ttulo1Car">
    <w:name w:val="Título 1 Car"/>
    <w:basedOn w:val="Fuentedeprrafopredeter"/>
    <w:link w:val="Ttulo1"/>
    <w:uiPriority w:val="9"/>
    <w:rsid w:val="00807513"/>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807513"/>
    <w:rPr>
      <w:rFonts w:ascii="Times New Roman" w:eastAsiaTheme="majorEastAsia" w:hAnsi="Times New Roman" w:cstheme="majorBidi"/>
      <w:b/>
      <w:sz w:val="24"/>
      <w:szCs w:val="26"/>
    </w:rPr>
  </w:style>
  <w:style w:type="paragraph" w:styleId="Subttulo">
    <w:name w:val="Subtitle"/>
    <w:basedOn w:val="Normal"/>
    <w:next w:val="Normal"/>
    <w:link w:val="SubttuloCar"/>
    <w:uiPriority w:val="11"/>
    <w:qFormat/>
    <w:rsid w:val="00D01BEA"/>
    <w:pPr>
      <w:numPr>
        <w:ilvl w:val="1"/>
      </w:numPr>
      <w:spacing w:after="160"/>
      <w:ind w:firstLine="709"/>
    </w:pPr>
    <w:rPr>
      <w:rFonts w:eastAsiaTheme="minorEastAsia"/>
      <w:b/>
      <w:spacing w:val="15"/>
    </w:rPr>
  </w:style>
  <w:style w:type="character" w:customStyle="1" w:styleId="SubttuloCar">
    <w:name w:val="Subtítulo Car"/>
    <w:basedOn w:val="Fuentedeprrafopredeter"/>
    <w:link w:val="Subttulo"/>
    <w:uiPriority w:val="11"/>
    <w:rsid w:val="00D01BEA"/>
    <w:rPr>
      <w:rFonts w:ascii="Times New Roman" w:eastAsiaTheme="minorEastAsia" w:hAnsi="Times New Roman"/>
      <w:b/>
      <w:spacing w:val="15"/>
      <w:sz w:val="24"/>
    </w:rPr>
  </w:style>
  <w:style w:type="paragraph" w:styleId="TtuloTDC">
    <w:name w:val="TOC Heading"/>
    <w:basedOn w:val="Ttulo1"/>
    <w:next w:val="Normal"/>
    <w:uiPriority w:val="39"/>
    <w:unhideWhenUsed/>
    <w:qFormat/>
    <w:rsid w:val="00807513"/>
    <w:pPr>
      <w:spacing w:line="259" w:lineRule="auto"/>
      <w:ind w:firstLine="0"/>
      <w:jc w:val="left"/>
      <w:outlineLvl w:val="9"/>
    </w:pPr>
    <w:rPr>
      <w:rFonts w:asciiTheme="majorHAnsi" w:hAnsiTheme="majorHAnsi"/>
      <w:b w:val="0"/>
      <w:color w:val="2F5496" w:themeColor="accent1" w:themeShade="BF"/>
      <w:sz w:val="32"/>
      <w:lang w:eastAsia="es-CO"/>
    </w:rPr>
  </w:style>
  <w:style w:type="paragraph" w:styleId="TDC1">
    <w:name w:val="toc 1"/>
    <w:basedOn w:val="Normal"/>
    <w:next w:val="Normal"/>
    <w:autoRedefine/>
    <w:uiPriority w:val="39"/>
    <w:unhideWhenUsed/>
    <w:rsid w:val="00807513"/>
    <w:pPr>
      <w:spacing w:after="100"/>
    </w:pPr>
  </w:style>
  <w:style w:type="paragraph" w:styleId="TDC2">
    <w:name w:val="toc 2"/>
    <w:basedOn w:val="Normal"/>
    <w:next w:val="Normal"/>
    <w:autoRedefine/>
    <w:uiPriority w:val="39"/>
    <w:unhideWhenUsed/>
    <w:rsid w:val="00807513"/>
    <w:pPr>
      <w:spacing w:after="100"/>
      <w:ind w:left="240"/>
    </w:pPr>
  </w:style>
  <w:style w:type="paragraph" w:styleId="TDC3">
    <w:name w:val="toc 3"/>
    <w:basedOn w:val="Normal"/>
    <w:next w:val="Normal"/>
    <w:autoRedefine/>
    <w:uiPriority w:val="39"/>
    <w:unhideWhenUsed/>
    <w:rsid w:val="00807513"/>
    <w:pPr>
      <w:spacing w:after="100" w:line="259" w:lineRule="auto"/>
      <w:ind w:left="440" w:firstLine="0"/>
      <w:jc w:val="left"/>
    </w:pPr>
    <w:rPr>
      <w:rFonts w:asciiTheme="minorHAnsi" w:eastAsiaTheme="minorEastAsia" w:hAnsiTheme="minorHAnsi" w:cs="Times New Roman"/>
      <w:sz w:val="22"/>
      <w:lang w:eastAsia="es-CO"/>
    </w:rPr>
  </w:style>
  <w:style w:type="paragraph" w:styleId="Encabezado">
    <w:name w:val="header"/>
    <w:basedOn w:val="Normal"/>
    <w:link w:val="EncabezadoCar"/>
    <w:uiPriority w:val="99"/>
    <w:unhideWhenUsed/>
    <w:rsid w:val="00D01BE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01BEA"/>
    <w:rPr>
      <w:rFonts w:ascii="Times New Roman" w:hAnsi="Times New Roman"/>
      <w:sz w:val="24"/>
    </w:rPr>
  </w:style>
  <w:style w:type="paragraph" w:styleId="Piedepgina">
    <w:name w:val="footer"/>
    <w:basedOn w:val="Normal"/>
    <w:link w:val="PiedepginaCar"/>
    <w:uiPriority w:val="99"/>
    <w:unhideWhenUsed/>
    <w:rsid w:val="00D01BE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01BEA"/>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5122">
      <w:bodyDiv w:val="1"/>
      <w:marLeft w:val="0"/>
      <w:marRight w:val="0"/>
      <w:marTop w:val="0"/>
      <w:marBottom w:val="0"/>
      <w:divBdr>
        <w:top w:val="none" w:sz="0" w:space="0" w:color="auto"/>
        <w:left w:val="none" w:sz="0" w:space="0" w:color="auto"/>
        <w:bottom w:val="none" w:sz="0" w:space="0" w:color="auto"/>
        <w:right w:val="none" w:sz="0" w:space="0" w:color="auto"/>
      </w:divBdr>
    </w:div>
    <w:div w:id="48262753">
      <w:bodyDiv w:val="1"/>
      <w:marLeft w:val="0"/>
      <w:marRight w:val="0"/>
      <w:marTop w:val="0"/>
      <w:marBottom w:val="0"/>
      <w:divBdr>
        <w:top w:val="none" w:sz="0" w:space="0" w:color="auto"/>
        <w:left w:val="none" w:sz="0" w:space="0" w:color="auto"/>
        <w:bottom w:val="none" w:sz="0" w:space="0" w:color="auto"/>
        <w:right w:val="none" w:sz="0" w:space="0" w:color="auto"/>
      </w:divBdr>
    </w:div>
    <w:div w:id="142821288">
      <w:bodyDiv w:val="1"/>
      <w:marLeft w:val="0"/>
      <w:marRight w:val="0"/>
      <w:marTop w:val="0"/>
      <w:marBottom w:val="0"/>
      <w:divBdr>
        <w:top w:val="none" w:sz="0" w:space="0" w:color="auto"/>
        <w:left w:val="none" w:sz="0" w:space="0" w:color="auto"/>
        <w:bottom w:val="none" w:sz="0" w:space="0" w:color="auto"/>
        <w:right w:val="none" w:sz="0" w:space="0" w:color="auto"/>
      </w:divBdr>
    </w:div>
    <w:div w:id="197160286">
      <w:bodyDiv w:val="1"/>
      <w:marLeft w:val="0"/>
      <w:marRight w:val="0"/>
      <w:marTop w:val="0"/>
      <w:marBottom w:val="0"/>
      <w:divBdr>
        <w:top w:val="none" w:sz="0" w:space="0" w:color="auto"/>
        <w:left w:val="none" w:sz="0" w:space="0" w:color="auto"/>
        <w:bottom w:val="none" w:sz="0" w:space="0" w:color="auto"/>
        <w:right w:val="none" w:sz="0" w:space="0" w:color="auto"/>
      </w:divBdr>
      <w:divsChild>
        <w:div w:id="85463108">
          <w:marLeft w:val="0"/>
          <w:marRight w:val="0"/>
          <w:marTop w:val="0"/>
          <w:marBottom w:val="0"/>
          <w:divBdr>
            <w:top w:val="none" w:sz="0" w:space="0" w:color="auto"/>
            <w:left w:val="none" w:sz="0" w:space="0" w:color="auto"/>
            <w:bottom w:val="none" w:sz="0" w:space="0" w:color="auto"/>
            <w:right w:val="none" w:sz="0" w:space="0" w:color="auto"/>
          </w:divBdr>
          <w:divsChild>
            <w:div w:id="617879367">
              <w:marLeft w:val="0"/>
              <w:marRight w:val="0"/>
              <w:marTop w:val="0"/>
              <w:marBottom w:val="0"/>
              <w:divBdr>
                <w:top w:val="none" w:sz="0" w:space="0" w:color="auto"/>
                <w:left w:val="none" w:sz="0" w:space="0" w:color="auto"/>
                <w:bottom w:val="none" w:sz="0" w:space="0" w:color="auto"/>
                <w:right w:val="none" w:sz="0" w:space="0" w:color="auto"/>
              </w:divBdr>
              <w:divsChild>
                <w:div w:id="323165290">
                  <w:marLeft w:val="0"/>
                  <w:marRight w:val="0"/>
                  <w:marTop w:val="0"/>
                  <w:marBottom w:val="0"/>
                  <w:divBdr>
                    <w:top w:val="none" w:sz="0" w:space="0" w:color="auto"/>
                    <w:left w:val="none" w:sz="0" w:space="0" w:color="auto"/>
                    <w:bottom w:val="none" w:sz="0" w:space="0" w:color="auto"/>
                    <w:right w:val="none" w:sz="0" w:space="0" w:color="auto"/>
                  </w:divBdr>
                  <w:divsChild>
                    <w:div w:id="1433091280">
                      <w:marLeft w:val="0"/>
                      <w:marRight w:val="0"/>
                      <w:marTop w:val="0"/>
                      <w:marBottom w:val="0"/>
                      <w:divBdr>
                        <w:top w:val="none" w:sz="0" w:space="0" w:color="auto"/>
                        <w:left w:val="none" w:sz="0" w:space="0" w:color="auto"/>
                        <w:bottom w:val="none" w:sz="0" w:space="0" w:color="auto"/>
                        <w:right w:val="none" w:sz="0" w:space="0" w:color="auto"/>
                      </w:divBdr>
                      <w:divsChild>
                        <w:div w:id="1939286902">
                          <w:marLeft w:val="0"/>
                          <w:marRight w:val="0"/>
                          <w:marTop w:val="0"/>
                          <w:marBottom w:val="0"/>
                          <w:divBdr>
                            <w:top w:val="none" w:sz="0" w:space="0" w:color="auto"/>
                            <w:left w:val="none" w:sz="0" w:space="0" w:color="auto"/>
                            <w:bottom w:val="none" w:sz="0" w:space="0" w:color="auto"/>
                            <w:right w:val="none" w:sz="0" w:space="0" w:color="auto"/>
                          </w:divBdr>
                          <w:divsChild>
                            <w:div w:id="503865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484086">
      <w:bodyDiv w:val="1"/>
      <w:marLeft w:val="0"/>
      <w:marRight w:val="0"/>
      <w:marTop w:val="0"/>
      <w:marBottom w:val="0"/>
      <w:divBdr>
        <w:top w:val="none" w:sz="0" w:space="0" w:color="auto"/>
        <w:left w:val="none" w:sz="0" w:space="0" w:color="auto"/>
        <w:bottom w:val="none" w:sz="0" w:space="0" w:color="auto"/>
        <w:right w:val="none" w:sz="0" w:space="0" w:color="auto"/>
      </w:divBdr>
    </w:div>
    <w:div w:id="318113920">
      <w:bodyDiv w:val="1"/>
      <w:marLeft w:val="0"/>
      <w:marRight w:val="0"/>
      <w:marTop w:val="0"/>
      <w:marBottom w:val="0"/>
      <w:divBdr>
        <w:top w:val="none" w:sz="0" w:space="0" w:color="auto"/>
        <w:left w:val="none" w:sz="0" w:space="0" w:color="auto"/>
        <w:bottom w:val="none" w:sz="0" w:space="0" w:color="auto"/>
        <w:right w:val="none" w:sz="0" w:space="0" w:color="auto"/>
      </w:divBdr>
      <w:divsChild>
        <w:div w:id="1577855903">
          <w:marLeft w:val="0"/>
          <w:marRight w:val="0"/>
          <w:marTop w:val="0"/>
          <w:marBottom w:val="0"/>
          <w:divBdr>
            <w:top w:val="none" w:sz="0" w:space="0" w:color="auto"/>
            <w:left w:val="none" w:sz="0" w:space="0" w:color="auto"/>
            <w:bottom w:val="none" w:sz="0" w:space="0" w:color="auto"/>
            <w:right w:val="none" w:sz="0" w:space="0" w:color="auto"/>
          </w:divBdr>
          <w:divsChild>
            <w:div w:id="1051342387">
              <w:marLeft w:val="0"/>
              <w:marRight w:val="0"/>
              <w:marTop w:val="0"/>
              <w:marBottom w:val="0"/>
              <w:divBdr>
                <w:top w:val="none" w:sz="0" w:space="0" w:color="auto"/>
                <w:left w:val="none" w:sz="0" w:space="0" w:color="auto"/>
                <w:bottom w:val="none" w:sz="0" w:space="0" w:color="auto"/>
                <w:right w:val="none" w:sz="0" w:space="0" w:color="auto"/>
              </w:divBdr>
              <w:divsChild>
                <w:div w:id="310795592">
                  <w:marLeft w:val="0"/>
                  <w:marRight w:val="0"/>
                  <w:marTop w:val="0"/>
                  <w:marBottom w:val="0"/>
                  <w:divBdr>
                    <w:top w:val="none" w:sz="0" w:space="0" w:color="auto"/>
                    <w:left w:val="none" w:sz="0" w:space="0" w:color="auto"/>
                    <w:bottom w:val="none" w:sz="0" w:space="0" w:color="auto"/>
                    <w:right w:val="none" w:sz="0" w:space="0" w:color="auto"/>
                  </w:divBdr>
                  <w:divsChild>
                    <w:div w:id="1687291127">
                      <w:marLeft w:val="0"/>
                      <w:marRight w:val="0"/>
                      <w:marTop w:val="0"/>
                      <w:marBottom w:val="0"/>
                      <w:divBdr>
                        <w:top w:val="none" w:sz="0" w:space="0" w:color="auto"/>
                        <w:left w:val="none" w:sz="0" w:space="0" w:color="auto"/>
                        <w:bottom w:val="none" w:sz="0" w:space="0" w:color="auto"/>
                        <w:right w:val="none" w:sz="0" w:space="0" w:color="auto"/>
                      </w:divBdr>
                      <w:divsChild>
                        <w:div w:id="1746881070">
                          <w:marLeft w:val="0"/>
                          <w:marRight w:val="0"/>
                          <w:marTop w:val="0"/>
                          <w:marBottom w:val="0"/>
                          <w:divBdr>
                            <w:top w:val="none" w:sz="0" w:space="0" w:color="auto"/>
                            <w:left w:val="none" w:sz="0" w:space="0" w:color="auto"/>
                            <w:bottom w:val="none" w:sz="0" w:space="0" w:color="auto"/>
                            <w:right w:val="none" w:sz="0" w:space="0" w:color="auto"/>
                          </w:divBdr>
                          <w:divsChild>
                            <w:div w:id="188902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7708140">
      <w:bodyDiv w:val="1"/>
      <w:marLeft w:val="0"/>
      <w:marRight w:val="0"/>
      <w:marTop w:val="0"/>
      <w:marBottom w:val="0"/>
      <w:divBdr>
        <w:top w:val="none" w:sz="0" w:space="0" w:color="auto"/>
        <w:left w:val="none" w:sz="0" w:space="0" w:color="auto"/>
        <w:bottom w:val="none" w:sz="0" w:space="0" w:color="auto"/>
        <w:right w:val="none" w:sz="0" w:space="0" w:color="auto"/>
      </w:divBdr>
    </w:div>
    <w:div w:id="394476332">
      <w:bodyDiv w:val="1"/>
      <w:marLeft w:val="0"/>
      <w:marRight w:val="0"/>
      <w:marTop w:val="0"/>
      <w:marBottom w:val="0"/>
      <w:divBdr>
        <w:top w:val="none" w:sz="0" w:space="0" w:color="auto"/>
        <w:left w:val="none" w:sz="0" w:space="0" w:color="auto"/>
        <w:bottom w:val="none" w:sz="0" w:space="0" w:color="auto"/>
        <w:right w:val="none" w:sz="0" w:space="0" w:color="auto"/>
      </w:divBdr>
    </w:div>
    <w:div w:id="477496625">
      <w:bodyDiv w:val="1"/>
      <w:marLeft w:val="0"/>
      <w:marRight w:val="0"/>
      <w:marTop w:val="0"/>
      <w:marBottom w:val="0"/>
      <w:divBdr>
        <w:top w:val="none" w:sz="0" w:space="0" w:color="auto"/>
        <w:left w:val="none" w:sz="0" w:space="0" w:color="auto"/>
        <w:bottom w:val="none" w:sz="0" w:space="0" w:color="auto"/>
        <w:right w:val="none" w:sz="0" w:space="0" w:color="auto"/>
      </w:divBdr>
      <w:divsChild>
        <w:div w:id="359282763">
          <w:marLeft w:val="0"/>
          <w:marRight w:val="0"/>
          <w:marTop w:val="0"/>
          <w:marBottom w:val="0"/>
          <w:divBdr>
            <w:top w:val="none" w:sz="0" w:space="0" w:color="auto"/>
            <w:left w:val="none" w:sz="0" w:space="0" w:color="auto"/>
            <w:bottom w:val="none" w:sz="0" w:space="0" w:color="auto"/>
            <w:right w:val="none" w:sz="0" w:space="0" w:color="auto"/>
          </w:divBdr>
          <w:divsChild>
            <w:div w:id="1566644103">
              <w:marLeft w:val="0"/>
              <w:marRight w:val="0"/>
              <w:marTop w:val="0"/>
              <w:marBottom w:val="0"/>
              <w:divBdr>
                <w:top w:val="none" w:sz="0" w:space="0" w:color="auto"/>
                <w:left w:val="none" w:sz="0" w:space="0" w:color="auto"/>
                <w:bottom w:val="none" w:sz="0" w:space="0" w:color="auto"/>
                <w:right w:val="none" w:sz="0" w:space="0" w:color="auto"/>
              </w:divBdr>
              <w:divsChild>
                <w:div w:id="1312170873">
                  <w:marLeft w:val="0"/>
                  <w:marRight w:val="0"/>
                  <w:marTop w:val="0"/>
                  <w:marBottom w:val="0"/>
                  <w:divBdr>
                    <w:top w:val="none" w:sz="0" w:space="0" w:color="auto"/>
                    <w:left w:val="none" w:sz="0" w:space="0" w:color="auto"/>
                    <w:bottom w:val="none" w:sz="0" w:space="0" w:color="auto"/>
                    <w:right w:val="none" w:sz="0" w:space="0" w:color="auto"/>
                  </w:divBdr>
                  <w:divsChild>
                    <w:div w:id="336467378">
                      <w:marLeft w:val="0"/>
                      <w:marRight w:val="0"/>
                      <w:marTop w:val="0"/>
                      <w:marBottom w:val="0"/>
                      <w:divBdr>
                        <w:top w:val="none" w:sz="0" w:space="0" w:color="auto"/>
                        <w:left w:val="none" w:sz="0" w:space="0" w:color="auto"/>
                        <w:bottom w:val="none" w:sz="0" w:space="0" w:color="auto"/>
                        <w:right w:val="none" w:sz="0" w:space="0" w:color="auto"/>
                      </w:divBdr>
                      <w:divsChild>
                        <w:div w:id="853499641">
                          <w:marLeft w:val="0"/>
                          <w:marRight w:val="0"/>
                          <w:marTop w:val="0"/>
                          <w:marBottom w:val="0"/>
                          <w:divBdr>
                            <w:top w:val="none" w:sz="0" w:space="0" w:color="auto"/>
                            <w:left w:val="none" w:sz="0" w:space="0" w:color="auto"/>
                            <w:bottom w:val="none" w:sz="0" w:space="0" w:color="auto"/>
                            <w:right w:val="none" w:sz="0" w:space="0" w:color="auto"/>
                          </w:divBdr>
                          <w:divsChild>
                            <w:div w:id="162720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5456866">
      <w:bodyDiv w:val="1"/>
      <w:marLeft w:val="0"/>
      <w:marRight w:val="0"/>
      <w:marTop w:val="0"/>
      <w:marBottom w:val="0"/>
      <w:divBdr>
        <w:top w:val="none" w:sz="0" w:space="0" w:color="auto"/>
        <w:left w:val="none" w:sz="0" w:space="0" w:color="auto"/>
        <w:bottom w:val="none" w:sz="0" w:space="0" w:color="auto"/>
        <w:right w:val="none" w:sz="0" w:space="0" w:color="auto"/>
      </w:divBdr>
      <w:divsChild>
        <w:div w:id="447818761">
          <w:marLeft w:val="0"/>
          <w:marRight w:val="0"/>
          <w:marTop w:val="0"/>
          <w:marBottom w:val="0"/>
          <w:divBdr>
            <w:top w:val="none" w:sz="0" w:space="0" w:color="auto"/>
            <w:left w:val="none" w:sz="0" w:space="0" w:color="auto"/>
            <w:bottom w:val="none" w:sz="0" w:space="0" w:color="auto"/>
            <w:right w:val="none" w:sz="0" w:space="0" w:color="auto"/>
          </w:divBdr>
          <w:divsChild>
            <w:div w:id="1065179720">
              <w:marLeft w:val="0"/>
              <w:marRight w:val="0"/>
              <w:marTop w:val="0"/>
              <w:marBottom w:val="0"/>
              <w:divBdr>
                <w:top w:val="none" w:sz="0" w:space="0" w:color="auto"/>
                <w:left w:val="none" w:sz="0" w:space="0" w:color="auto"/>
                <w:bottom w:val="none" w:sz="0" w:space="0" w:color="auto"/>
                <w:right w:val="none" w:sz="0" w:space="0" w:color="auto"/>
              </w:divBdr>
              <w:divsChild>
                <w:div w:id="666327259">
                  <w:marLeft w:val="0"/>
                  <w:marRight w:val="0"/>
                  <w:marTop w:val="0"/>
                  <w:marBottom w:val="225"/>
                  <w:divBdr>
                    <w:top w:val="none" w:sz="0" w:space="0" w:color="auto"/>
                    <w:left w:val="none" w:sz="0" w:space="0" w:color="auto"/>
                    <w:bottom w:val="none" w:sz="0" w:space="0" w:color="auto"/>
                    <w:right w:val="none" w:sz="0" w:space="0" w:color="auto"/>
                  </w:divBdr>
                  <w:divsChild>
                    <w:div w:id="423114677">
                      <w:marLeft w:val="0"/>
                      <w:marRight w:val="0"/>
                      <w:marTop w:val="0"/>
                      <w:marBottom w:val="0"/>
                      <w:divBdr>
                        <w:top w:val="none" w:sz="0" w:space="0" w:color="auto"/>
                        <w:left w:val="none" w:sz="0" w:space="0" w:color="auto"/>
                        <w:bottom w:val="none" w:sz="0" w:space="0" w:color="auto"/>
                        <w:right w:val="none" w:sz="0" w:space="0" w:color="auto"/>
                      </w:divBdr>
                      <w:divsChild>
                        <w:div w:id="205222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0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057748">
      <w:bodyDiv w:val="1"/>
      <w:marLeft w:val="0"/>
      <w:marRight w:val="0"/>
      <w:marTop w:val="0"/>
      <w:marBottom w:val="0"/>
      <w:divBdr>
        <w:top w:val="none" w:sz="0" w:space="0" w:color="auto"/>
        <w:left w:val="none" w:sz="0" w:space="0" w:color="auto"/>
        <w:bottom w:val="none" w:sz="0" w:space="0" w:color="auto"/>
        <w:right w:val="none" w:sz="0" w:space="0" w:color="auto"/>
      </w:divBdr>
    </w:div>
    <w:div w:id="582303553">
      <w:bodyDiv w:val="1"/>
      <w:marLeft w:val="0"/>
      <w:marRight w:val="0"/>
      <w:marTop w:val="0"/>
      <w:marBottom w:val="0"/>
      <w:divBdr>
        <w:top w:val="none" w:sz="0" w:space="0" w:color="auto"/>
        <w:left w:val="none" w:sz="0" w:space="0" w:color="auto"/>
        <w:bottom w:val="none" w:sz="0" w:space="0" w:color="auto"/>
        <w:right w:val="none" w:sz="0" w:space="0" w:color="auto"/>
      </w:divBdr>
    </w:div>
    <w:div w:id="707990070">
      <w:bodyDiv w:val="1"/>
      <w:marLeft w:val="0"/>
      <w:marRight w:val="0"/>
      <w:marTop w:val="0"/>
      <w:marBottom w:val="0"/>
      <w:divBdr>
        <w:top w:val="none" w:sz="0" w:space="0" w:color="auto"/>
        <w:left w:val="none" w:sz="0" w:space="0" w:color="auto"/>
        <w:bottom w:val="none" w:sz="0" w:space="0" w:color="auto"/>
        <w:right w:val="none" w:sz="0" w:space="0" w:color="auto"/>
      </w:divBdr>
    </w:div>
    <w:div w:id="757285339">
      <w:bodyDiv w:val="1"/>
      <w:marLeft w:val="0"/>
      <w:marRight w:val="0"/>
      <w:marTop w:val="0"/>
      <w:marBottom w:val="0"/>
      <w:divBdr>
        <w:top w:val="none" w:sz="0" w:space="0" w:color="auto"/>
        <w:left w:val="none" w:sz="0" w:space="0" w:color="auto"/>
        <w:bottom w:val="none" w:sz="0" w:space="0" w:color="auto"/>
        <w:right w:val="none" w:sz="0" w:space="0" w:color="auto"/>
      </w:divBdr>
    </w:div>
    <w:div w:id="901332186">
      <w:bodyDiv w:val="1"/>
      <w:marLeft w:val="0"/>
      <w:marRight w:val="0"/>
      <w:marTop w:val="0"/>
      <w:marBottom w:val="0"/>
      <w:divBdr>
        <w:top w:val="none" w:sz="0" w:space="0" w:color="auto"/>
        <w:left w:val="none" w:sz="0" w:space="0" w:color="auto"/>
        <w:bottom w:val="none" w:sz="0" w:space="0" w:color="auto"/>
        <w:right w:val="none" w:sz="0" w:space="0" w:color="auto"/>
      </w:divBdr>
    </w:div>
    <w:div w:id="976227179">
      <w:bodyDiv w:val="1"/>
      <w:marLeft w:val="0"/>
      <w:marRight w:val="0"/>
      <w:marTop w:val="0"/>
      <w:marBottom w:val="0"/>
      <w:divBdr>
        <w:top w:val="none" w:sz="0" w:space="0" w:color="auto"/>
        <w:left w:val="none" w:sz="0" w:space="0" w:color="auto"/>
        <w:bottom w:val="none" w:sz="0" w:space="0" w:color="auto"/>
        <w:right w:val="none" w:sz="0" w:space="0" w:color="auto"/>
      </w:divBdr>
    </w:div>
    <w:div w:id="1098722262">
      <w:bodyDiv w:val="1"/>
      <w:marLeft w:val="0"/>
      <w:marRight w:val="0"/>
      <w:marTop w:val="0"/>
      <w:marBottom w:val="0"/>
      <w:divBdr>
        <w:top w:val="none" w:sz="0" w:space="0" w:color="auto"/>
        <w:left w:val="none" w:sz="0" w:space="0" w:color="auto"/>
        <w:bottom w:val="none" w:sz="0" w:space="0" w:color="auto"/>
        <w:right w:val="none" w:sz="0" w:space="0" w:color="auto"/>
      </w:divBdr>
    </w:div>
    <w:div w:id="1114597182">
      <w:bodyDiv w:val="1"/>
      <w:marLeft w:val="0"/>
      <w:marRight w:val="0"/>
      <w:marTop w:val="0"/>
      <w:marBottom w:val="0"/>
      <w:divBdr>
        <w:top w:val="none" w:sz="0" w:space="0" w:color="auto"/>
        <w:left w:val="none" w:sz="0" w:space="0" w:color="auto"/>
        <w:bottom w:val="none" w:sz="0" w:space="0" w:color="auto"/>
        <w:right w:val="none" w:sz="0" w:space="0" w:color="auto"/>
      </w:divBdr>
    </w:div>
    <w:div w:id="1120219750">
      <w:bodyDiv w:val="1"/>
      <w:marLeft w:val="0"/>
      <w:marRight w:val="0"/>
      <w:marTop w:val="0"/>
      <w:marBottom w:val="0"/>
      <w:divBdr>
        <w:top w:val="none" w:sz="0" w:space="0" w:color="auto"/>
        <w:left w:val="none" w:sz="0" w:space="0" w:color="auto"/>
        <w:bottom w:val="none" w:sz="0" w:space="0" w:color="auto"/>
        <w:right w:val="none" w:sz="0" w:space="0" w:color="auto"/>
      </w:divBdr>
    </w:div>
    <w:div w:id="1153521765">
      <w:bodyDiv w:val="1"/>
      <w:marLeft w:val="0"/>
      <w:marRight w:val="0"/>
      <w:marTop w:val="0"/>
      <w:marBottom w:val="0"/>
      <w:divBdr>
        <w:top w:val="none" w:sz="0" w:space="0" w:color="auto"/>
        <w:left w:val="none" w:sz="0" w:space="0" w:color="auto"/>
        <w:bottom w:val="none" w:sz="0" w:space="0" w:color="auto"/>
        <w:right w:val="none" w:sz="0" w:space="0" w:color="auto"/>
      </w:divBdr>
      <w:divsChild>
        <w:div w:id="1962683065">
          <w:marLeft w:val="0"/>
          <w:marRight w:val="0"/>
          <w:marTop w:val="90"/>
          <w:marBottom w:val="0"/>
          <w:divBdr>
            <w:top w:val="none" w:sz="0" w:space="0" w:color="auto"/>
            <w:left w:val="none" w:sz="0" w:space="0" w:color="auto"/>
            <w:bottom w:val="none" w:sz="0" w:space="0" w:color="auto"/>
            <w:right w:val="none" w:sz="0" w:space="0" w:color="auto"/>
          </w:divBdr>
        </w:div>
      </w:divsChild>
    </w:div>
    <w:div w:id="1231888923">
      <w:bodyDiv w:val="1"/>
      <w:marLeft w:val="0"/>
      <w:marRight w:val="0"/>
      <w:marTop w:val="0"/>
      <w:marBottom w:val="0"/>
      <w:divBdr>
        <w:top w:val="none" w:sz="0" w:space="0" w:color="auto"/>
        <w:left w:val="none" w:sz="0" w:space="0" w:color="auto"/>
        <w:bottom w:val="none" w:sz="0" w:space="0" w:color="auto"/>
        <w:right w:val="none" w:sz="0" w:space="0" w:color="auto"/>
      </w:divBdr>
    </w:div>
    <w:div w:id="1248804713">
      <w:bodyDiv w:val="1"/>
      <w:marLeft w:val="0"/>
      <w:marRight w:val="0"/>
      <w:marTop w:val="0"/>
      <w:marBottom w:val="0"/>
      <w:divBdr>
        <w:top w:val="none" w:sz="0" w:space="0" w:color="auto"/>
        <w:left w:val="none" w:sz="0" w:space="0" w:color="auto"/>
        <w:bottom w:val="none" w:sz="0" w:space="0" w:color="auto"/>
        <w:right w:val="none" w:sz="0" w:space="0" w:color="auto"/>
      </w:divBdr>
      <w:divsChild>
        <w:div w:id="2000302322">
          <w:marLeft w:val="0"/>
          <w:marRight w:val="0"/>
          <w:marTop w:val="0"/>
          <w:marBottom w:val="0"/>
          <w:divBdr>
            <w:top w:val="none" w:sz="0" w:space="0" w:color="auto"/>
            <w:left w:val="none" w:sz="0" w:space="0" w:color="auto"/>
            <w:bottom w:val="none" w:sz="0" w:space="0" w:color="auto"/>
            <w:right w:val="none" w:sz="0" w:space="0" w:color="auto"/>
          </w:divBdr>
          <w:divsChild>
            <w:div w:id="1198815280">
              <w:marLeft w:val="0"/>
              <w:marRight w:val="0"/>
              <w:marTop w:val="0"/>
              <w:marBottom w:val="0"/>
              <w:divBdr>
                <w:top w:val="none" w:sz="0" w:space="0" w:color="auto"/>
                <w:left w:val="none" w:sz="0" w:space="0" w:color="auto"/>
                <w:bottom w:val="none" w:sz="0" w:space="0" w:color="auto"/>
                <w:right w:val="none" w:sz="0" w:space="0" w:color="auto"/>
              </w:divBdr>
              <w:divsChild>
                <w:div w:id="1369990460">
                  <w:marLeft w:val="0"/>
                  <w:marRight w:val="0"/>
                  <w:marTop w:val="0"/>
                  <w:marBottom w:val="0"/>
                  <w:divBdr>
                    <w:top w:val="none" w:sz="0" w:space="0" w:color="auto"/>
                    <w:left w:val="none" w:sz="0" w:space="0" w:color="auto"/>
                    <w:bottom w:val="none" w:sz="0" w:space="0" w:color="auto"/>
                    <w:right w:val="none" w:sz="0" w:space="0" w:color="auto"/>
                  </w:divBdr>
                  <w:divsChild>
                    <w:div w:id="568658096">
                      <w:marLeft w:val="0"/>
                      <w:marRight w:val="0"/>
                      <w:marTop w:val="0"/>
                      <w:marBottom w:val="0"/>
                      <w:divBdr>
                        <w:top w:val="none" w:sz="0" w:space="0" w:color="auto"/>
                        <w:left w:val="none" w:sz="0" w:space="0" w:color="auto"/>
                        <w:bottom w:val="none" w:sz="0" w:space="0" w:color="auto"/>
                        <w:right w:val="none" w:sz="0" w:space="0" w:color="auto"/>
                      </w:divBdr>
                      <w:divsChild>
                        <w:div w:id="2072069913">
                          <w:marLeft w:val="0"/>
                          <w:marRight w:val="0"/>
                          <w:marTop w:val="0"/>
                          <w:marBottom w:val="0"/>
                          <w:divBdr>
                            <w:top w:val="none" w:sz="0" w:space="0" w:color="auto"/>
                            <w:left w:val="none" w:sz="0" w:space="0" w:color="auto"/>
                            <w:bottom w:val="none" w:sz="0" w:space="0" w:color="auto"/>
                            <w:right w:val="none" w:sz="0" w:space="0" w:color="auto"/>
                          </w:divBdr>
                          <w:divsChild>
                            <w:div w:id="164596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234108">
      <w:bodyDiv w:val="1"/>
      <w:marLeft w:val="0"/>
      <w:marRight w:val="0"/>
      <w:marTop w:val="0"/>
      <w:marBottom w:val="0"/>
      <w:divBdr>
        <w:top w:val="none" w:sz="0" w:space="0" w:color="auto"/>
        <w:left w:val="none" w:sz="0" w:space="0" w:color="auto"/>
        <w:bottom w:val="none" w:sz="0" w:space="0" w:color="auto"/>
        <w:right w:val="none" w:sz="0" w:space="0" w:color="auto"/>
      </w:divBdr>
    </w:div>
    <w:div w:id="1252816572">
      <w:bodyDiv w:val="1"/>
      <w:marLeft w:val="0"/>
      <w:marRight w:val="0"/>
      <w:marTop w:val="0"/>
      <w:marBottom w:val="0"/>
      <w:divBdr>
        <w:top w:val="none" w:sz="0" w:space="0" w:color="auto"/>
        <w:left w:val="none" w:sz="0" w:space="0" w:color="auto"/>
        <w:bottom w:val="none" w:sz="0" w:space="0" w:color="auto"/>
        <w:right w:val="none" w:sz="0" w:space="0" w:color="auto"/>
      </w:divBdr>
      <w:divsChild>
        <w:div w:id="68045156">
          <w:marLeft w:val="0"/>
          <w:marRight w:val="0"/>
          <w:marTop w:val="90"/>
          <w:marBottom w:val="0"/>
          <w:divBdr>
            <w:top w:val="none" w:sz="0" w:space="0" w:color="auto"/>
            <w:left w:val="none" w:sz="0" w:space="0" w:color="auto"/>
            <w:bottom w:val="none" w:sz="0" w:space="0" w:color="auto"/>
            <w:right w:val="none" w:sz="0" w:space="0" w:color="auto"/>
          </w:divBdr>
        </w:div>
      </w:divsChild>
    </w:div>
    <w:div w:id="1261109477">
      <w:bodyDiv w:val="1"/>
      <w:marLeft w:val="0"/>
      <w:marRight w:val="0"/>
      <w:marTop w:val="0"/>
      <w:marBottom w:val="0"/>
      <w:divBdr>
        <w:top w:val="none" w:sz="0" w:space="0" w:color="auto"/>
        <w:left w:val="none" w:sz="0" w:space="0" w:color="auto"/>
        <w:bottom w:val="none" w:sz="0" w:space="0" w:color="auto"/>
        <w:right w:val="none" w:sz="0" w:space="0" w:color="auto"/>
      </w:divBdr>
      <w:divsChild>
        <w:div w:id="1916084405">
          <w:marLeft w:val="0"/>
          <w:marRight w:val="0"/>
          <w:marTop w:val="0"/>
          <w:marBottom w:val="0"/>
          <w:divBdr>
            <w:top w:val="none" w:sz="0" w:space="0" w:color="auto"/>
            <w:left w:val="none" w:sz="0" w:space="0" w:color="auto"/>
            <w:bottom w:val="none" w:sz="0" w:space="0" w:color="auto"/>
            <w:right w:val="none" w:sz="0" w:space="0" w:color="auto"/>
          </w:divBdr>
          <w:divsChild>
            <w:div w:id="577178020">
              <w:marLeft w:val="0"/>
              <w:marRight w:val="0"/>
              <w:marTop w:val="0"/>
              <w:marBottom w:val="0"/>
              <w:divBdr>
                <w:top w:val="none" w:sz="0" w:space="0" w:color="auto"/>
                <w:left w:val="none" w:sz="0" w:space="0" w:color="auto"/>
                <w:bottom w:val="none" w:sz="0" w:space="0" w:color="auto"/>
                <w:right w:val="none" w:sz="0" w:space="0" w:color="auto"/>
              </w:divBdr>
              <w:divsChild>
                <w:div w:id="396899052">
                  <w:marLeft w:val="0"/>
                  <w:marRight w:val="0"/>
                  <w:marTop w:val="0"/>
                  <w:marBottom w:val="0"/>
                  <w:divBdr>
                    <w:top w:val="none" w:sz="0" w:space="0" w:color="auto"/>
                    <w:left w:val="none" w:sz="0" w:space="0" w:color="auto"/>
                    <w:bottom w:val="none" w:sz="0" w:space="0" w:color="auto"/>
                    <w:right w:val="none" w:sz="0" w:space="0" w:color="auto"/>
                  </w:divBdr>
                  <w:divsChild>
                    <w:div w:id="364722851">
                      <w:marLeft w:val="0"/>
                      <w:marRight w:val="0"/>
                      <w:marTop w:val="0"/>
                      <w:marBottom w:val="0"/>
                      <w:divBdr>
                        <w:top w:val="none" w:sz="0" w:space="0" w:color="auto"/>
                        <w:left w:val="none" w:sz="0" w:space="0" w:color="auto"/>
                        <w:bottom w:val="none" w:sz="0" w:space="0" w:color="auto"/>
                        <w:right w:val="none" w:sz="0" w:space="0" w:color="auto"/>
                      </w:divBdr>
                      <w:divsChild>
                        <w:div w:id="1504130439">
                          <w:marLeft w:val="0"/>
                          <w:marRight w:val="0"/>
                          <w:marTop w:val="0"/>
                          <w:marBottom w:val="0"/>
                          <w:divBdr>
                            <w:top w:val="none" w:sz="0" w:space="0" w:color="auto"/>
                            <w:left w:val="none" w:sz="0" w:space="0" w:color="auto"/>
                            <w:bottom w:val="none" w:sz="0" w:space="0" w:color="auto"/>
                            <w:right w:val="none" w:sz="0" w:space="0" w:color="auto"/>
                          </w:divBdr>
                          <w:divsChild>
                            <w:div w:id="100331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547179">
      <w:bodyDiv w:val="1"/>
      <w:marLeft w:val="0"/>
      <w:marRight w:val="0"/>
      <w:marTop w:val="0"/>
      <w:marBottom w:val="0"/>
      <w:divBdr>
        <w:top w:val="none" w:sz="0" w:space="0" w:color="auto"/>
        <w:left w:val="none" w:sz="0" w:space="0" w:color="auto"/>
        <w:bottom w:val="none" w:sz="0" w:space="0" w:color="auto"/>
        <w:right w:val="none" w:sz="0" w:space="0" w:color="auto"/>
      </w:divBdr>
    </w:div>
    <w:div w:id="1457602281">
      <w:bodyDiv w:val="1"/>
      <w:marLeft w:val="0"/>
      <w:marRight w:val="0"/>
      <w:marTop w:val="0"/>
      <w:marBottom w:val="0"/>
      <w:divBdr>
        <w:top w:val="none" w:sz="0" w:space="0" w:color="auto"/>
        <w:left w:val="none" w:sz="0" w:space="0" w:color="auto"/>
        <w:bottom w:val="none" w:sz="0" w:space="0" w:color="auto"/>
        <w:right w:val="none" w:sz="0" w:space="0" w:color="auto"/>
      </w:divBdr>
    </w:div>
    <w:div w:id="1485899858">
      <w:bodyDiv w:val="1"/>
      <w:marLeft w:val="0"/>
      <w:marRight w:val="0"/>
      <w:marTop w:val="0"/>
      <w:marBottom w:val="0"/>
      <w:divBdr>
        <w:top w:val="none" w:sz="0" w:space="0" w:color="auto"/>
        <w:left w:val="none" w:sz="0" w:space="0" w:color="auto"/>
        <w:bottom w:val="none" w:sz="0" w:space="0" w:color="auto"/>
        <w:right w:val="none" w:sz="0" w:space="0" w:color="auto"/>
      </w:divBdr>
    </w:div>
    <w:div w:id="1493986651">
      <w:bodyDiv w:val="1"/>
      <w:marLeft w:val="0"/>
      <w:marRight w:val="0"/>
      <w:marTop w:val="0"/>
      <w:marBottom w:val="0"/>
      <w:divBdr>
        <w:top w:val="none" w:sz="0" w:space="0" w:color="auto"/>
        <w:left w:val="none" w:sz="0" w:space="0" w:color="auto"/>
        <w:bottom w:val="none" w:sz="0" w:space="0" w:color="auto"/>
        <w:right w:val="none" w:sz="0" w:space="0" w:color="auto"/>
      </w:divBdr>
    </w:div>
    <w:div w:id="1519856450">
      <w:bodyDiv w:val="1"/>
      <w:marLeft w:val="0"/>
      <w:marRight w:val="0"/>
      <w:marTop w:val="0"/>
      <w:marBottom w:val="0"/>
      <w:divBdr>
        <w:top w:val="none" w:sz="0" w:space="0" w:color="auto"/>
        <w:left w:val="none" w:sz="0" w:space="0" w:color="auto"/>
        <w:bottom w:val="none" w:sz="0" w:space="0" w:color="auto"/>
        <w:right w:val="none" w:sz="0" w:space="0" w:color="auto"/>
      </w:divBdr>
    </w:div>
    <w:div w:id="1568608167">
      <w:bodyDiv w:val="1"/>
      <w:marLeft w:val="0"/>
      <w:marRight w:val="0"/>
      <w:marTop w:val="0"/>
      <w:marBottom w:val="0"/>
      <w:divBdr>
        <w:top w:val="none" w:sz="0" w:space="0" w:color="auto"/>
        <w:left w:val="none" w:sz="0" w:space="0" w:color="auto"/>
        <w:bottom w:val="none" w:sz="0" w:space="0" w:color="auto"/>
        <w:right w:val="none" w:sz="0" w:space="0" w:color="auto"/>
      </w:divBdr>
    </w:div>
    <w:div w:id="1573546377">
      <w:bodyDiv w:val="1"/>
      <w:marLeft w:val="0"/>
      <w:marRight w:val="0"/>
      <w:marTop w:val="0"/>
      <w:marBottom w:val="0"/>
      <w:divBdr>
        <w:top w:val="none" w:sz="0" w:space="0" w:color="auto"/>
        <w:left w:val="none" w:sz="0" w:space="0" w:color="auto"/>
        <w:bottom w:val="none" w:sz="0" w:space="0" w:color="auto"/>
        <w:right w:val="none" w:sz="0" w:space="0" w:color="auto"/>
      </w:divBdr>
    </w:div>
    <w:div w:id="1577588120">
      <w:bodyDiv w:val="1"/>
      <w:marLeft w:val="0"/>
      <w:marRight w:val="0"/>
      <w:marTop w:val="0"/>
      <w:marBottom w:val="0"/>
      <w:divBdr>
        <w:top w:val="none" w:sz="0" w:space="0" w:color="auto"/>
        <w:left w:val="none" w:sz="0" w:space="0" w:color="auto"/>
        <w:bottom w:val="none" w:sz="0" w:space="0" w:color="auto"/>
        <w:right w:val="none" w:sz="0" w:space="0" w:color="auto"/>
      </w:divBdr>
    </w:div>
    <w:div w:id="1622951464">
      <w:bodyDiv w:val="1"/>
      <w:marLeft w:val="0"/>
      <w:marRight w:val="0"/>
      <w:marTop w:val="0"/>
      <w:marBottom w:val="0"/>
      <w:divBdr>
        <w:top w:val="none" w:sz="0" w:space="0" w:color="auto"/>
        <w:left w:val="none" w:sz="0" w:space="0" w:color="auto"/>
        <w:bottom w:val="none" w:sz="0" w:space="0" w:color="auto"/>
        <w:right w:val="none" w:sz="0" w:space="0" w:color="auto"/>
      </w:divBdr>
    </w:div>
    <w:div w:id="1703748881">
      <w:bodyDiv w:val="1"/>
      <w:marLeft w:val="0"/>
      <w:marRight w:val="0"/>
      <w:marTop w:val="0"/>
      <w:marBottom w:val="0"/>
      <w:divBdr>
        <w:top w:val="none" w:sz="0" w:space="0" w:color="auto"/>
        <w:left w:val="none" w:sz="0" w:space="0" w:color="auto"/>
        <w:bottom w:val="none" w:sz="0" w:space="0" w:color="auto"/>
        <w:right w:val="none" w:sz="0" w:space="0" w:color="auto"/>
      </w:divBdr>
      <w:divsChild>
        <w:div w:id="366298620">
          <w:marLeft w:val="0"/>
          <w:marRight w:val="0"/>
          <w:marTop w:val="0"/>
          <w:marBottom w:val="0"/>
          <w:divBdr>
            <w:top w:val="none" w:sz="0" w:space="0" w:color="auto"/>
            <w:left w:val="none" w:sz="0" w:space="0" w:color="auto"/>
            <w:bottom w:val="none" w:sz="0" w:space="0" w:color="auto"/>
            <w:right w:val="none" w:sz="0" w:space="0" w:color="auto"/>
          </w:divBdr>
          <w:divsChild>
            <w:div w:id="1819029241">
              <w:marLeft w:val="0"/>
              <w:marRight w:val="0"/>
              <w:marTop w:val="0"/>
              <w:marBottom w:val="0"/>
              <w:divBdr>
                <w:top w:val="none" w:sz="0" w:space="0" w:color="auto"/>
                <w:left w:val="none" w:sz="0" w:space="0" w:color="auto"/>
                <w:bottom w:val="none" w:sz="0" w:space="0" w:color="auto"/>
                <w:right w:val="none" w:sz="0" w:space="0" w:color="auto"/>
              </w:divBdr>
              <w:divsChild>
                <w:div w:id="1397507470">
                  <w:marLeft w:val="0"/>
                  <w:marRight w:val="0"/>
                  <w:marTop w:val="0"/>
                  <w:marBottom w:val="0"/>
                  <w:divBdr>
                    <w:top w:val="none" w:sz="0" w:space="0" w:color="auto"/>
                    <w:left w:val="none" w:sz="0" w:space="0" w:color="auto"/>
                    <w:bottom w:val="none" w:sz="0" w:space="0" w:color="auto"/>
                    <w:right w:val="none" w:sz="0" w:space="0" w:color="auto"/>
                  </w:divBdr>
                  <w:divsChild>
                    <w:div w:id="821311127">
                      <w:marLeft w:val="0"/>
                      <w:marRight w:val="0"/>
                      <w:marTop w:val="0"/>
                      <w:marBottom w:val="0"/>
                      <w:divBdr>
                        <w:top w:val="none" w:sz="0" w:space="0" w:color="auto"/>
                        <w:left w:val="none" w:sz="0" w:space="0" w:color="auto"/>
                        <w:bottom w:val="none" w:sz="0" w:space="0" w:color="auto"/>
                        <w:right w:val="none" w:sz="0" w:space="0" w:color="auto"/>
                      </w:divBdr>
                      <w:divsChild>
                        <w:div w:id="1939751491">
                          <w:marLeft w:val="0"/>
                          <w:marRight w:val="0"/>
                          <w:marTop w:val="0"/>
                          <w:marBottom w:val="0"/>
                          <w:divBdr>
                            <w:top w:val="none" w:sz="0" w:space="0" w:color="auto"/>
                            <w:left w:val="none" w:sz="0" w:space="0" w:color="auto"/>
                            <w:bottom w:val="none" w:sz="0" w:space="0" w:color="auto"/>
                            <w:right w:val="none" w:sz="0" w:space="0" w:color="auto"/>
                          </w:divBdr>
                          <w:divsChild>
                            <w:div w:id="95402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0252613">
      <w:bodyDiv w:val="1"/>
      <w:marLeft w:val="0"/>
      <w:marRight w:val="0"/>
      <w:marTop w:val="0"/>
      <w:marBottom w:val="0"/>
      <w:divBdr>
        <w:top w:val="none" w:sz="0" w:space="0" w:color="auto"/>
        <w:left w:val="none" w:sz="0" w:space="0" w:color="auto"/>
        <w:bottom w:val="none" w:sz="0" w:space="0" w:color="auto"/>
        <w:right w:val="none" w:sz="0" w:space="0" w:color="auto"/>
      </w:divBdr>
      <w:divsChild>
        <w:div w:id="1473138679">
          <w:marLeft w:val="0"/>
          <w:marRight w:val="0"/>
          <w:marTop w:val="0"/>
          <w:marBottom w:val="0"/>
          <w:divBdr>
            <w:top w:val="none" w:sz="0" w:space="0" w:color="auto"/>
            <w:left w:val="none" w:sz="0" w:space="0" w:color="auto"/>
            <w:bottom w:val="none" w:sz="0" w:space="0" w:color="auto"/>
            <w:right w:val="none" w:sz="0" w:space="0" w:color="auto"/>
          </w:divBdr>
          <w:divsChild>
            <w:div w:id="773861235">
              <w:marLeft w:val="0"/>
              <w:marRight w:val="0"/>
              <w:marTop w:val="0"/>
              <w:marBottom w:val="0"/>
              <w:divBdr>
                <w:top w:val="none" w:sz="0" w:space="0" w:color="auto"/>
                <w:left w:val="none" w:sz="0" w:space="0" w:color="auto"/>
                <w:bottom w:val="none" w:sz="0" w:space="0" w:color="auto"/>
                <w:right w:val="none" w:sz="0" w:space="0" w:color="auto"/>
              </w:divBdr>
              <w:divsChild>
                <w:div w:id="1626160837">
                  <w:marLeft w:val="0"/>
                  <w:marRight w:val="0"/>
                  <w:marTop w:val="0"/>
                  <w:marBottom w:val="0"/>
                  <w:divBdr>
                    <w:top w:val="none" w:sz="0" w:space="0" w:color="auto"/>
                    <w:left w:val="none" w:sz="0" w:space="0" w:color="auto"/>
                    <w:bottom w:val="none" w:sz="0" w:space="0" w:color="auto"/>
                    <w:right w:val="none" w:sz="0" w:space="0" w:color="auto"/>
                  </w:divBdr>
                  <w:divsChild>
                    <w:div w:id="870923331">
                      <w:marLeft w:val="0"/>
                      <w:marRight w:val="0"/>
                      <w:marTop w:val="0"/>
                      <w:marBottom w:val="0"/>
                      <w:divBdr>
                        <w:top w:val="none" w:sz="0" w:space="0" w:color="auto"/>
                        <w:left w:val="none" w:sz="0" w:space="0" w:color="auto"/>
                        <w:bottom w:val="none" w:sz="0" w:space="0" w:color="auto"/>
                        <w:right w:val="none" w:sz="0" w:space="0" w:color="auto"/>
                      </w:divBdr>
                      <w:divsChild>
                        <w:div w:id="1947497952">
                          <w:marLeft w:val="0"/>
                          <w:marRight w:val="0"/>
                          <w:marTop w:val="0"/>
                          <w:marBottom w:val="0"/>
                          <w:divBdr>
                            <w:top w:val="none" w:sz="0" w:space="0" w:color="auto"/>
                            <w:left w:val="none" w:sz="0" w:space="0" w:color="auto"/>
                            <w:bottom w:val="none" w:sz="0" w:space="0" w:color="auto"/>
                            <w:right w:val="none" w:sz="0" w:space="0" w:color="auto"/>
                          </w:divBdr>
                          <w:divsChild>
                            <w:div w:id="101681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0991312">
      <w:bodyDiv w:val="1"/>
      <w:marLeft w:val="0"/>
      <w:marRight w:val="0"/>
      <w:marTop w:val="0"/>
      <w:marBottom w:val="0"/>
      <w:divBdr>
        <w:top w:val="none" w:sz="0" w:space="0" w:color="auto"/>
        <w:left w:val="none" w:sz="0" w:space="0" w:color="auto"/>
        <w:bottom w:val="none" w:sz="0" w:space="0" w:color="auto"/>
        <w:right w:val="none" w:sz="0" w:space="0" w:color="auto"/>
      </w:divBdr>
    </w:div>
    <w:div w:id="1877306732">
      <w:bodyDiv w:val="1"/>
      <w:marLeft w:val="0"/>
      <w:marRight w:val="0"/>
      <w:marTop w:val="0"/>
      <w:marBottom w:val="0"/>
      <w:divBdr>
        <w:top w:val="none" w:sz="0" w:space="0" w:color="auto"/>
        <w:left w:val="none" w:sz="0" w:space="0" w:color="auto"/>
        <w:bottom w:val="none" w:sz="0" w:space="0" w:color="auto"/>
        <w:right w:val="none" w:sz="0" w:space="0" w:color="auto"/>
      </w:divBdr>
    </w:div>
    <w:div w:id="1934701020">
      <w:bodyDiv w:val="1"/>
      <w:marLeft w:val="0"/>
      <w:marRight w:val="0"/>
      <w:marTop w:val="0"/>
      <w:marBottom w:val="0"/>
      <w:divBdr>
        <w:top w:val="none" w:sz="0" w:space="0" w:color="auto"/>
        <w:left w:val="none" w:sz="0" w:space="0" w:color="auto"/>
        <w:bottom w:val="none" w:sz="0" w:space="0" w:color="auto"/>
        <w:right w:val="none" w:sz="0" w:space="0" w:color="auto"/>
      </w:divBdr>
    </w:div>
    <w:div w:id="1936746199">
      <w:bodyDiv w:val="1"/>
      <w:marLeft w:val="0"/>
      <w:marRight w:val="0"/>
      <w:marTop w:val="0"/>
      <w:marBottom w:val="0"/>
      <w:divBdr>
        <w:top w:val="none" w:sz="0" w:space="0" w:color="auto"/>
        <w:left w:val="none" w:sz="0" w:space="0" w:color="auto"/>
        <w:bottom w:val="none" w:sz="0" w:space="0" w:color="auto"/>
        <w:right w:val="none" w:sz="0" w:space="0" w:color="auto"/>
      </w:divBdr>
      <w:divsChild>
        <w:div w:id="301008332">
          <w:marLeft w:val="0"/>
          <w:marRight w:val="0"/>
          <w:marTop w:val="0"/>
          <w:marBottom w:val="0"/>
          <w:divBdr>
            <w:top w:val="none" w:sz="0" w:space="0" w:color="auto"/>
            <w:left w:val="none" w:sz="0" w:space="0" w:color="auto"/>
            <w:bottom w:val="none" w:sz="0" w:space="0" w:color="auto"/>
            <w:right w:val="none" w:sz="0" w:space="0" w:color="auto"/>
          </w:divBdr>
          <w:divsChild>
            <w:div w:id="1621839651">
              <w:marLeft w:val="0"/>
              <w:marRight w:val="0"/>
              <w:marTop w:val="0"/>
              <w:marBottom w:val="0"/>
              <w:divBdr>
                <w:top w:val="none" w:sz="0" w:space="0" w:color="auto"/>
                <w:left w:val="none" w:sz="0" w:space="0" w:color="auto"/>
                <w:bottom w:val="none" w:sz="0" w:space="0" w:color="auto"/>
                <w:right w:val="none" w:sz="0" w:space="0" w:color="auto"/>
              </w:divBdr>
              <w:divsChild>
                <w:div w:id="1882864770">
                  <w:marLeft w:val="0"/>
                  <w:marRight w:val="0"/>
                  <w:marTop w:val="0"/>
                  <w:marBottom w:val="0"/>
                  <w:divBdr>
                    <w:top w:val="none" w:sz="0" w:space="0" w:color="auto"/>
                    <w:left w:val="none" w:sz="0" w:space="0" w:color="auto"/>
                    <w:bottom w:val="none" w:sz="0" w:space="0" w:color="auto"/>
                    <w:right w:val="none" w:sz="0" w:space="0" w:color="auto"/>
                  </w:divBdr>
                  <w:divsChild>
                    <w:div w:id="1147240169">
                      <w:marLeft w:val="0"/>
                      <w:marRight w:val="0"/>
                      <w:marTop w:val="0"/>
                      <w:marBottom w:val="0"/>
                      <w:divBdr>
                        <w:top w:val="none" w:sz="0" w:space="0" w:color="auto"/>
                        <w:left w:val="none" w:sz="0" w:space="0" w:color="auto"/>
                        <w:bottom w:val="none" w:sz="0" w:space="0" w:color="auto"/>
                        <w:right w:val="none" w:sz="0" w:space="0" w:color="auto"/>
                      </w:divBdr>
                      <w:divsChild>
                        <w:div w:id="1176573805">
                          <w:marLeft w:val="0"/>
                          <w:marRight w:val="0"/>
                          <w:marTop w:val="0"/>
                          <w:marBottom w:val="0"/>
                          <w:divBdr>
                            <w:top w:val="none" w:sz="0" w:space="0" w:color="auto"/>
                            <w:left w:val="none" w:sz="0" w:space="0" w:color="auto"/>
                            <w:bottom w:val="none" w:sz="0" w:space="0" w:color="auto"/>
                            <w:right w:val="none" w:sz="0" w:space="0" w:color="auto"/>
                          </w:divBdr>
                          <w:divsChild>
                            <w:div w:id="88179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9894655">
      <w:bodyDiv w:val="1"/>
      <w:marLeft w:val="0"/>
      <w:marRight w:val="0"/>
      <w:marTop w:val="0"/>
      <w:marBottom w:val="0"/>
      <w:divBdr>
        <w:top w:val="none" w:sz="0" w:space="0" w:color="auto"/>
        <w:left w:val="none" w:sz="0" w:space="0" w:color="auto"/>
        <w:bottom w:val="none" w:sz="0" w:space="0" w:color="auto"/>
        <w:right w:val="none" w:sz="0" w:space="0" w:color="auto"/>
      </w:divBdr>
    </w:div>
    <w:div w:id="1962344891">
      <w:bodyDiv w:val="1"/>
      <w:marLeft w:val="0"/>
      <w:marRight w:val="0"/>
      <w:marTop w:val="0"/>
      <w:marBottom w:val="0"/>
      <w:divBdr>
        <w:top w:val="none" w:sz="0" w:space="0" w:color="auto"/>
        <w:left w:val="none" w:sz="0" w:space="0" w:color="auto"/>
        <w:bottom w:val="none" w:sz="0" w:space="0" w:color="auto"/>
        <w:right w:val="none" w:sz="0" w:space="0" w:color="auto"/>
      </w:divBdr>
    </w:div>
    <w:div w:id="2128966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eaweb.org" TargetMode="External"/><Relationship Id="rId18" Type="http://schemas.openxmlformats.org/officeDocument/2006/relationships/hyperlink" Target="https://diariodelhuila.com/crece-la-cifra-en-evasion-de-impuestos-en-el-sector-de-la-construccion-en-colombia/" TargetMode="External"/><Relationship Id="rId26" Type="http://schemas.openxmlformats.org/officeDocument/2006/relationships/hyperlink" Target="https://www.jstor.org" TargetMode="External"/><Relationship Id="rId39" Type="http://schemas.openxmlformats.org/officeDocument/2006/relationships/theme" Target="theme/theme1.xml"/><Relationship Id="rId21" Type="http://schemas.openxmlformats.org/officeDocument/2006/relationships/hyperlink" Target="https://expeditiorepositorio.utadeo.edu.co/bitstream/handle/20.500.12010/2514/AIU%20Base%20Gravable%20o%20Fuente%20de%20Evasi%C3%B3n%20de%20Impuestos.pdf?sequence=1&amp;isAllowed=y" TargetMode="External"/><Relationship Id="rId34" Type="http://schemas.openxmlformats.org/officeDocument/2006/relationships/hyperlink" Target="https://repositorio.sena.edu.co" TargetMode="External"/><Relationship Id="rId7" Type="http://schemas.openxmlformats.org/officeDocument/2006/relationships/settings" Target="settings.xml"/><Relationship Id="rId12" Type="http://schemas.openxmlformats.org/officeDocument/2006/relationships/hyperlink" Target="https://www.analdex.org/2024/03/04/informe-producto-interno-bruto-de-2023/" TargetMode="External"/><Relationship Id="rId17" Type="http://schemas.openxmlformats.org/officeDocument/2006/relationships/hyperlink" Target="https://diariodelhuila.com/crece-la-cifra-en-evasion-de-impuestos-en-el-sector-de-la-construccion-en-colombia/" TargetMode="External"/><Relationship Id="rId25" Type="http://schemas.openxmlformats.org/officeDocument/2006/relationships/hyperlink" Target="https://www.investopedia.com" TargetMode="External"/><Relationship Id="rId33" Type="http://schemas.openxmlformats.org/officeDocument/2006/relationships/hyperlink" Target="https://www.semana.com/economia/empresas/articulo/cuanto-pierde-colombia-por-evasion-del-iva-en-el-sector-de-materiales-de-construccion/202218/"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normograma.dian.gov.co/dian/compilacion/docs/oficio_dian_27292_2017.htm" TargetMode="External"/><Relationship Id="rId20" Type="http://schemas.openxmlformats.org/officeDocument/2006/relationships/hyperlink" Target="https://www.gestionlegalcolombia.com/blog/cuenta-de-compensacion" TargetMode="External"/><Relationship Id="rId29" Type="http://schemas.openxmlformats.org/officeDocument/2006/relationships/hyperlink" Target="https://gerencie.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herreraasociados.co" TargetMode="External"/><Relationship Id="rId32" Type="http://schemas.openxmlformats.org/officeDocument/2006/relationships/hyperlink" Target="https://gerentealdia.com" TargetMode="External"/><Relationship Id="rId37"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ciudadregion.com/economia/evasion-de-iva-en-materiales-de-construccion-llega-al-medio-billon-de-pesos" TargetMode="External"/><Relationship Id="rId23" Type="http://schemas.openxmlformats.org/officeDocument/2006/relationships/hyperlink" Target="https://www.bbvaresearch.com/publicaciones/colombia-detras-del-andamio-la-estructura-del-sector-de-la-construccion-en-colombia/" TargetMode="External"/><Relationship Id="rId28" Type="http://schemas.openxmlformats.org/officeDocument/2006/relationships/hyperlink" Target="https://www.gestiopolis.com" TargetMode="External"/><Relationship Id="rId36" Type="http://schemas.openxmlformats.org/officeDocument/2006/relationships/hyperlink" Target="https://transparenciacolombia.org.co/negocios-fantasma/cartel-de-la-evasion-del-iva-mas-de-12-anos-falsificando-facturas/" TargetMode="External"/><Relationship Id="rId10" Type="http://schemas.openxmlformats.org/officeDocument/2006/relationships/endnotes" Target="endnotes.xml"/><Relationship Id="rId19" Type="http://schemas.openxmlformats.org/officeDocument/2006/relationships/hyperlink" Target="https://gestionlegalcolombia.com" TargetMode="External"/><Relationship Id="rId31" Type="http://schemas.openxmlformats.org/officeDocument/2006/relationships/hyperlink" Target="https://normograma.dian.gov.co/dian/compilacion/docs/68001-23-33-000-2013-00458-01(21815).ht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eltranpardo.com/wp-content/uploads/2020/08/Art%C3%ADculo-AIU-.-Infraestructura-y-Desarrollo-2.pdf" TargetMode="External"/><Relationship Id="rId22" Type="http://schemas.openxmlformats.org/officeDocument/2006/relationships/hyperlink" Target="https://www.bbvaresearch.com" TargetMode="External"/><Relationship Id="rId27" Type="http://schemas.openxmlformats.org/officeDocument/2006/relationships/hyperlink" Target="https://siigo.com" TargetMode="External"/><Relationship Id="rId30" Type="http://schemas.openxmlformats.org/officeDocument/2006/relationships/hyperlink" Target="https://www.elespectador.com/economia/evasion-del-iva-en-materiales-de-construccion-sumaria-500000-millones/" TargetMode="External"/><Relationship Id="rId35" Type="http://schemas.openxmlformats.org/officeDocument/2006/relationships/hyperlink" Target="https://camacol.co/descargable/proyecto-de-investigacion-del-sector-de-la-construccion-de-edificaciones-en-colombia-0"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4f092e4-1b02-412c-8d58-232bd0c1d5e2">
      <Terms xmlns="http://schemas.microsoft.com/office/infopath/2007/PartnerControls"/>
    </lcf76f155ced4ddcb4097134ff3c332f>
    <TaxCatchAll xmlns="40ac711e-7c42-411c-8749-7b3bb45a00e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34AFDDD0068F0342A318CC1F443B3F13" ma:contentTypeVersion="15" ma:contentTypeDescription="Crear nuevo documento." ma:contentTypeScope="" ma:versionID="7cefdd31fe625c6b24288afd02cf08fe">
  <xsd:schema xmlns:xsd="http://www.w3.org/2001/XMLSchema" xmlns:xs="http://www.w3.org/2001/XMLSchema" xmlns:p="http://schemas.microsoft.com/office/2006/metadata/properties" xmlns:ns2="54f092e4-1b02-412c-8d58-232bd0c1d5e2" xmlns:ns3="40ac711e-7c42-411c-8749-7b3bb45a00e4" targetNamespace="http://schemas.microsoft.com/office/2006/metadata/properties" ma:root="true" ma:fieldsID="4f83d038e355a29264cb7975d59878b9" ns2:_="" ns3:_="">
    <xsd:import namespace="54f092e4-1b02-412c-8d58-232bd0c1d5e2"/>
    <xsd:import namespace="40ac711e-7c42-411c-8749-7b3bb45a00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f092e4-1b02-412c-8d58-232bd0c1d5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79f61812-a2d0-48aa-9b71-96941360e80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ac711e-7c42-411c-8749-7b3bb45a00e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f7e062b-11b0-4094-bbef-2bb7c8de9832}" ma:internalName="TaxCatchAll" ma:showField="CatchAllData" ma:web="40ac711e-7c42-411c-8749-7b3bb45a00e4">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AA51DA-956C-4FF2-980B-7A34769AFC9E}">
  <ds:schemaRefs>
    <ds:schemaRef ds:uri="http://schemas.openxmlformats.org/officeDocument/2006/bibliography"/>
  </ds:schemaRefs>
</ds:datastoreItem>
</file>

<file path=customXml/itemProps2.xml><?xml version="1.0" encoding="utf-8"?>
<ds:datastoreItem xmlns:ds="http://schemas.openxmlformats.org/officeDocument/2006/customXml" ds:itemID="{0FCF6A35-A426-4782-ABEB-2A60FE499501}">
  <ds:schemaRefs>
    <ds:schemaRef ds:uri="http://schemas.microsoft.com/office/2006/metadata/properties"/>
    <ds:schemaRef ds:uri="http://schemas.microsoft.com/office/infopath/2007/PartnerControls"/>
    <ds:schemaRef ds:uri="54f092e4-1b02-412c-8d58-232bd0c1d5e2"/>
    <ds:schemaRef ds:uri="40ac711e-7c42-411c-8749-7b3bb45a00e4"/>
  </ds:schemaRefs>
</ds:datastoreItem>
</file>

<file path=customXml/itemProps3.xml><?xml version="1.0" encoding="utf-8"?>
<ds:datastoreItem xmlns:ds="http://schemas.openxmlformats.org/officeDocument/2006/customXml" ds:itemID="{71540E0F-BB75-426C-AE18-BBBEEDD2A230}">
  <ds:schemaRefs>
    <ds:schemaRef ds:uri="http://schemas.microsoft.com/sharepoint/v3/contenttype/forms"/>
  </ds:schemaRefs>
</ds:datastoreItem>
</file>

<file path=customXml/itemProps4.xml><?xml version="1.0" encoding="utf-8"?>
<ds:datastoreItem xmlns:ds="http://schemas.openxmlformats.org/officeDocument/2006/customXml" ds:itemID="{0B59FC6A-E3B1-424B-8D6B-C0494704DE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f092e4-1b02-412c-8d58-232bd0c1d5e2"/>
    <ds:schemaRef ds:uri="40ac711e-7c42-411c-8749-7b3bb45a00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27</Pages>
  <Words>5677</Words>
  <Characters>31229</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Catalina Gómez</dc:creator>
  <cp:keywords/>
  <dc:description/>
  <cp:lastModifiedBy>Andrea Arango</cp:lastModifiedBy>
  <cp:revision>12</cp:revision>
  <dcterms:created xsi:type="dcterms:W3CDTF">2024-07-17T20:07:00Z</dcterms:created>
  <dcterms:modified xsi:type="dcterms:W3CDTF">2024-07-17T20:16:00Z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0x01010034AFDDD0068F0342A318CC1F443B3F13</vt:lpwstr>
  </property>
</Properties>
</file>